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D493E" w14:textId="77777777" w:rsidR="008A6225" w:rsidRDefault="008A6225" w:rsidP="001D68AA">
      <w:pPr>
        <w:jc w:val="center"/>
      </w:pPr>
    </w:p>
    <w:p w14:paraId="744FD498" w14:textId="77777777" w:rsidR="001D68AA" w:rsidRDefault="001D68AA" w:rsidP="001D68AA">
      <w:pPr>
        <w:jc w:val="center"/>
      </w:pPr>
    </w:p>
    <w:p w14:paraId="359BBBD6" w14:textId="77777777" w:rsidR="001D68AA" w:rsidRDefault="001D68AA" w:rsidP="001D68AA">
      <w:pPr>
        <w:jc w:val="center"/>
      </w:pPr>
    </w:p>
    <w:p w14:paraId="3281DAE2" w14:textId="77777777" w:rsidR="001D68AA" w:rsidRDefault="001D68AA" w:rsidP="001D68AA">
      <w:pPr>
        <w:jc w:val="center"/>
      </w:pPr>
    </w:p>
    <w:p w14:paraId="3AB6D749" w14:textId="77777777" w:rsidR="001D68AA" w:rsidRDefault="001D68AA" w:rsidP="001D68AA">
      <w:pPr>
        <w:jc w:val="center"/>
      </w:pPr>
    </w:p>
    <w:p w14:paraId="136DD46E" w14:textId="77777777" w:rsidR="001D68AA" w:rsidRDefault="001D68AA" w:rsidP="001D68AA">
      <w:pPr>
        <w:jc w:val="center"/>
      </w:pPr>
    </w:p>
    <w:p w14:paraId="777B2951" w14:textId="77777777" w:rsidR="001D68AA" w:rsidRDefault="001D68AA" w:rsidP="001D68AA">
      <w:pPr>
        <w:jc w:val="center"/>
      </w:pPr>
    </w:p>
    <w:p w14:paraId="4AED12D1" w14:textId="77777777" w:rsidR="001D68AA" w:rsidRPr="001A7A7F" w:rsidRDefault="001D68AA" w:rsidP="001D68AA">
      <w:pPr>
        <w:spacing w:after="120"/>
        <w:jc w:val="center"/>
        <w:rPr>
          <w:lang w:val="pt-PT"/>
        </w:rPr>
      </w:pPr>
      <w:r>
        <w:rPr>
          <w:b/>
          <w:bCs/>
          <w:sz w:val="34"/>
          <w:szCs w:val="34"/>
          <w:lang w:val="pt-PT"/>
        </w:rPr>
        <w:t>Arquitectura To-Be — Centro de Monitoreo Sectorial</w:t>
      </w:r>
    </w:p>
    <w:p w14:paraId="03F7C8A7" w14:textId="77777777" w:rsidR="001D68AA" w:rsidRPr="001A7A7F" w:rsidRDefault="001D68AA" w:rsidP="001D68AA">
      <w:pPr>
        <w:spacing w:after="120"/>
        <w:jc w:val="center"/>
      </w:pPr>
      <w:r>
        <w:rPr>
          <w:b/>
          <w:bCs/>
          <w:sz w:val="24"/>
          <w:szCs w:val="24"/>
        </w:rPr>
        <w:t>Documento de Arquitectura de Solución (SAD) — Versión inicial para revisión.</w:t>
      </w:r>
    </w:p>
    <w:p w14:paraId="53D95149" w14:textId="77777777" w:rsidR="001D68AA" w:rsidRPr="001A7A7F" w:rsidRDefault="001D68AA" w:rsidP="001D68AA">
      <w:pPr>
        <w:spacing w:after="60"/>
        <w:jc w:val="center"/>
      </w:pPr>
      <w:r>
        <w:rPr>
          <w:sz w:val="20"/>
          <w:szCs w:val="20"/>
        </w:rPr>
        <w:t>La capa de inteligencia de datos como Fase III del CMS · BPIN 202400000000198</w:t>
      </w:r>
    </w:p>
    <w:p w14:paraId="53103436" w14:textId="77777777" w:rsidR="001D68AA" w:rsidRPr="001A7A7F" w:rsidRDefault="001D68AA" w:rsidP="001D68AA">
      <w:pPr>
        <w:spacing w:after="60"/>
        <w:jc w:val="center"/>
        <w:rPr>
          <w:lang w:val="pt-PT"/>
        </w:rPr>
      </w:pPr>
      <w:r>
        <w:rPr>
          <w:sz w:val="18"/>
          <w:szCs w:val="18"/>
          <w:lang w:val="pt-PT"/>
        </w:rPr>
        <w:t>MRAE 3.0 · TOGAF ADM · PETI 2025 · Res. 40199/2021 · Res. 40559/2025 · MSPI · CONPES 3995</w:t>
      </w:r>
    </w:p>
    <w:p w14:paraId="2FAFDB87" w14:textId="77777777" w:rsidR="001D68AA" w:rsidRDefault="001D68AA" w:rsidP="001D68AA">
      <w:pPr>
        <w:spacing w:before="600" w:after="120"/>
      </w:pPr>
      <w:r>
        <w:rPr>
          <w:b/>
          <w:bCs/>
        </w:rPr>
        <w:t>Control de versiones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0"/>
        <w:gridCol w:w="1400"/>
        <w:gridCol w:w="5060"/>
        <w:gridCol w:w="1900"/>
      </w:tblGrid>
      <w:tr w:rsidR="0040225E" w14:paraId="56C7A9BE" w14:textId="77777777" w:rsidTr="00FB1990">
        <w:trPr>
          <w:jc w:val="center"/>
        </w:trPr>
        <w:tc>
          <w:tcPr>
            <w:tcW w:w="1000" w:type="dxa"/>
            <w:shd w:val="clear" w:color="auto" w:fill="000000"/>
          </w:tcPr>
          <w:p w14:paraId="088590B4" w14:textId="77777777" w:rsidR="0040225E" w:rsidRDefault="00AB3A47">
            <w:pPr>
              <w:rPr>
                <w:b/>
                <w:bCs/>
                <w:color w:val="FFFFFF"/>
                <w:sz w:val="18"/>
              </w:rPr>
            </w:pPr>
            <w:r>
              <w:rPr>
                <w:b/>
                <w:bCs/>
                <w:color w:val="FFFFFF"/>
                <w:sz w:val="18"/>
              </w:rPr>
              <w:t>Versión</w:t>
            </w:r>
          </w:p>
        </w:tc>
        <w:tc>
          <w:tcPr>
            <w:tcW w:w="1400" w:type="dxa"/>
            <w:shd w:val="clear" w:color="auto" w:fill="000000"/>
          </w:tcPr>
          <w:p w14:paraId="070D07E2" w14:textId="77777777" w:rsidR="0040225E" w:rsidRDefault="00AB3A47">
            <w:pPr>
              <w:rPr>
                <w:b/>
                <w:bCs/>
                <w:color w:val="FFFFFF"/>
                <w:sz w:val="18"/>
              </w:rPr>
            </w:pPr>
            <w:r>
              <w:rPr>
                <w:b/>
                <w:bCs/>
                <w:color w:val="FFFFFF"/>
                <w:sz w:val="18"/>
              </w:rPr>
              <w:t>Fecha</w:t>
            </w:r>
          </w:p>
        </w:tc>
        <w:tc>
          <w:tcPr>
            <w:tcW w:w="5060" w:type="dxa"/>
            <w:shd w:val="clear" w:color="auto" w:fill="000000"/>
          </w:tcPr>
          <w:p w14:paraId="19F42F50" w14:textId="77777777" w:rsidR="0040225E" w:rsidRDefault="00AB3A47">
            <w:pPr>
              <w:rPr>
                <w:b/>
                <w:bCs/>
                <w:color w:val="FFFFFF"/>
                <w:sz w:val="18"/>
              </w:rPr>
            </w:pPr>
            <w:r>
              <w:rPr>
                <w:b/>
                <w:bCs/>
                <w:color w:val="FFFFFF"/>
                <w:sz w:val="18"/>
              </w:rPr>
              <w:t>Descripción del cambio</w:t>
            </w:r>
          </w:p>
        </w:tc>
        <w:tc>
          <w:tcPr>
            <w:tcW w:w="1900" w:type="dxa"/>
            <w:shd w:val="clear" w:color="auto" w:fill="000000"/>
          </w:tcPr>
          <w:p w14:paraId="47C7CB1B" w14:textId="77777777" w:rsidR="0040225E" w:rsidRDefault="00AB3A47">
            <w:pPr>
              <w:rPr>
                <w:b/>
                <w:bCs/>
                <w:color w:val="FFFFFF"/>
                <w:sz w:val="18"/>
              </w:rPr>
            </w:pPr>
            <w:r>
              <w:rPr>
                <w:b/>
                <w:bCs/>
                <w:color w:val="FFFFFF"/>
                <w:sz w:val="18"/>
              </w:rPr>
              <w:t>Elaboró</w:t>
            </w:r>
          </w:p>
        </w:tc>
      </w:tr>
      <w:tr w:rsidR="0040225E" w14:paraId="1B171053" w14:textId="77777777" w:rsidTr="00FB1990">
        <w:trPr>
          <w:jc w:val="center"/>
        </w:trPr>
        <w:tc>
          <w:tcPr>
            <w:tcW w:w="1000" w:type="dxa"/>
          </w:tcPr>
          <w:p w14:paraId="44C7BD2F" w14:textId="77777777" w:rsidR="0040225E" w:rsidRDefault="00AB3A47">
            <w:pPr>
              <w:rPr>
                <w:sz w:val="18"/>
              </w:rPr>
            </w:pPr>
            <w:r>
              <w:rPr>
                <w:sz w:val="18"/>
              </w:rPr>
              <w:t>V1.0</w:t>
            </w:r>
          </w:p>
        </w:tc>
        <w:tc>
          <w:tcPr>
            <w:tcW w:w="1400" w:type="dxa"/>
          </w:tcPr>
          <w:p w14:paraId="3DB181C6" w14:textId="77777777" w:rsidR="0040225E" w:rsidRDefault="00AB3A47">
            <w:pPr>
              <w:rPr>
                <w:sz w:val="18"/>
              </w:rPr>
            </w:pPr>
            <w:r>
              <w:rPr>
                <w:sz w:val="18"/>
              </w:rPr>
              <w:t>04-09-2025</w:t>
            </w:r>
          </w:p>
        </w:tc>
        <w:tc>
          <w:tcPr>
            <w:tcW w:w="5060" w:type="dxa"/>
          </w:tcPr>
          <w:p w14:paraId="5DCC70A1" w14:textId="77777777" w:rsidR="0040225E" w:rsidRDefault="00AB3A47">
            <w:pPr>
              <w:rPr>
                <w:sz w:val="18"/>
              </w:rPr>
            </w:pPr>
            <w:r>
              <w:rPr>
                <w:sz w:val="18"/>
              </w:rPr>
              <w:t>Versión inicial para revisión.</w:t>
            </w:r>
          </w:p>
        </w:tc>
        <w:tc>
          <w:tcPr>
            <w:tcW w:w="1900" w:type="dxa"/>
          </w:tcPr>
          <w:p w14:paraId="0709B951" w14:textId="77777777" w:rsidR="0040225E" w:rsidRDefault="00AB3A47">
            <w:pPr>
              <w:rPr>
                <w:sz w:val="18"/>
              </w:rPr>
            </w:pPr>
            <w:r>
              <w:rPr>
                <w:sz w:val="18"/>
              </w:rPr>
              <w:t>Natalia Quintero</w:t>
            </w:r>
          </w:p>
        </w:tc>
      </w:tr>
      <w:tr w:rsidR="0040225E" w14:paraId="4C05E936" w14:textId="77777777" w:rsidTr="00FB1990">
        <w:trPr>
          <w:jc w:val="center"/>
        </w:trPr>
        <w:tc>
          <w:tcPr>
            <w:tcW w:w="1000" w:type="dxa"/>
          </w:tcPr>
          <w:p w14:paraId="5EDA06F5" w14:textId="77777777" w:rsidR="0040225E" w:rsidRDefault="00AB3A47">
            <w:pPr>
              <w:rPr>
                <w:sz w:val="18"/>
              </w:rPr>
            </w:pPr>
            <w:r>
              <w:rPr>
                <w:sz w:val="18"/>
              </w:rPr>
              <w:t>V2.0</w:t>
            </w:r>
          </w:p>
        </w:tc>
        <w:tc>
          <w:tcPr>
            <w:tcW w:w="1400" w:type="dxa"/>
          </w:tcPr>
          <w:p w14:paraId="6D49D7CB" w14:textId="77777777" w:rsidR="0040225E" w:rsidRDefault="00AB3A47">
            <w:pPr>
              <w:rPr>
                <w:sz w:val="18"/>
              </w:rPr>
            </w:pPr>
            <w:r>
              <w:rPr>
                <w:sz w:val="18"/>
              </w:rPr>
              <w:t>10-08-2026</w:t>
            </w:r>
          </w:p>
        </w:tc>
        <w:tc>
          <w:tcPr>
            <w:tcW w:w="5060" w:type="dxa"/>
          </w:tcPr>
          <w:p w14:paraId="44E86B13" w14:textId="77777777" w:rsidR="0040225E" w:rsidRDefault="00AB3A47">
            <w:pPr>
              <w:rPr>
                <w:sz w:val="18"/>
              </w:rPr>
            </w:pPr>
            <w:r>
              <w:rPr>
                <w:sz w:val="18"/>
              </w:rPr>
              <w:t xml:space="preserve">Se incluye la sección 2 </w:t>
            </w:r>
            <w:r>
              <w:rPr>
                <w:sz w:val="18"/>
              </w:rPr>
              <w:t>(Objetivo y alcance); se homologan los estilos de título de las secciones 1, 3, 6, 7, 10, 12 y 14 a Heading 1 para que la tabla de contenido y la navegación de Word los reconozcan; se activa la actualización automática de la tabla de contenido; se agrega n</w:t>
            </w:r>
            <w:r>
              <w:rPr>
                <w:sz w:val="18"/>
              </w:rPr>
              <w:t>umeración de página en el pie; se incorpora este control de versiones.</w:t>
            </w:r>
          </w:p>
        </w:tc>
        <w:tc>
          <w:tcPr>
            <w:tcW w:w="1900" w:type="dxa"/>
          </w:tcPr>
          <w:p w14:paraId="23609A23" w14:textId="77777777" w:rsidR="0040225E" w:rsidRDefault="00AB3A47">
            <w:pPr>
              <w:rPr>
                <w:sz w:val="18"/>
              </w:rPr>
            </w:pPr>
            <w:r>
              <w:rPr>
                <w:sz w:val="18"/>
              </w:rPr>
              <w:t>[Nombre y cargo]</w:t>
            </w:r>
          </w:p>
        </w:tc>
      </w:tr>
    </w:tbl>
    <w:p w14:paraId="19D094CF" w14:textId="77777777" w:rsidR="001D68AA" w:rsidRPr="001A7A7F" w:rsidRDefault="001D68AA" w:rsidP="001D68AA">
      <w:r>
        <w:br w:type="page"/>
      </w:r>
    </w:p>
    <w:p w14:paraId="71E99B05" w14:textId="77777777" w:rsidR="001D68AA" w:rsidRPr="001A7A7F" w:rsidRDefault="001D68AA" w:rsidP="001D68A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Contenido</w:t>
      </w:r>
    </w:p>
    <w:p w14:paraId="29ECF625" w14:textId="6BF8A66F" w:rsidR="001D68AA" w:rsidRPr="001A7A7F" w:rsidRDefault="001D68AA" w:rsidP="001D68AA">
      <w:pPr>
        <w:rPr>
          <w:b/>
          <w:bCs/>
        </w:rPr>
      </w:pPr>
    </w:p>
    <w:p w14:paraId="02ABAF81" w14:textId="77777777" w:rsidR="001D68AA" w:rsidRPr="001A7A7F" w:rsidRDefault="001D68AA" w:rsidP="001D68AA">
      <w:pPr>
        <w:pStyle w:val="Ttulo1"/>
        <w:rPr>
          <w:color w:val="auto"/>
        </w:rPr>
      </w:pPr>
      <w:r>
        <w:rPr>
          <w:color w:val="auto"/>
        </w:rPr>
        <w:t>1. Resumen</w:t>
      </w:r>
    </w:p>
    <w:p w14:paraId="0F7894F9" w14:textId="77777777" w:rsidR="001D68AA" w:rsidRPr="001A7A7F" w:rsidRDefault="001D68AA" w:rsidP="001D68AA">
      <w:pPr>
        <w:jc w:val="both"/>
        <w:rPr>
          <w:b/>
          <w:bCs/>
        </w:rPr>
      </w:pPr>
    </w:p>
    <w:p w14:paraId="1FF7D546" w14:textId="77777777" w:rsidR="001D68AA" w:rsidRPr="001A7A7F" w:rsidRDefault="001D68AA" w:rsidP="001D68AA">
      <w:pPr>
        <w:spacing w:after="120"/>
        <w:jc w:val="both"/>
      </w:pPr>
      <w:r>
        <w:t>El Centro de Monitoreo Sectorial (CMS) del Ministerio de Minas y Energía es una capacidad ya en construcción, articulada al proyecto de inversión BPIN 202400000000198. Su Fase I (2025) habilitó la plataforma base y su Fase II (2026) profundiza la operación con el sitio alterno de recuperación ante desastres, capacidades avanzadas de ciberseguridad y la operación continua 24/7 del modelo unificado SOC, NOC y CSIRT sectorial.</w:t>
      </w:r>
    </w:p>
    <w:p w14:paraId="01BDAD7C" w14:textId="77777777" w:rsidR="001D68AA" w:rsidRPr="001A7A7F" w:rsidRDefault="001D68AA" w:rsidP="001D68AA">
      <w:pPr>
        <w:spacing w:after="120"/>
        <w:jc w:val="both"/>
      </w:pPr>
      <w:r>
        <w:t>Este documento propone la arquitectura objetivo de la capa que aún no existe: la inteligencia de datos sectoriales. No plantea un proyecto paralelo, sino la Fase III del CMS, que se construye sobre la plataforma, la seguridad y la interoperabilidad que las Fases I y II ya dejaron instaladas.</w:t>
      </w:r>
    </w:p>
    <w:p w14:paraId="64B5135C" w14:textId="77777777" w:rsidR="001D68AA" w:rsidRDefault="001D68AA" w:rsidP="001D68AA">
      <w:pPr>
        <w:spacing w:after="120"/>
        <w:jc w:val="both"/>
      </w:pPr>
      <w:r>
        <w:t>Los dominios de Tecnología y Seguridad están ejecutados o en ejecución con financiación asignada; la interoperabilidad quedó contratada en la Fase II. Lo que falta es la capa de datos, y su costo marginal es bajo porque se apoya en lo ya adquirido.</w:t>
      </w:r>
    </w:p>
    <w:p w14:paraId="11B49BCD" w14:textId="77777777" w:rsidR="001D68AA" w:rsidRDefault="001D68AA" w:rsidP="001D68AA">
      <w:pPr>
        <w:spacing w:after="120"/>
        <w:jc w:val="both"/>
      </w:pPr>
    </w:p>
    <w:p w14:paraId="58C9B6C0" w14:textId="77777777" w:rsidR="001D68AA" w:rsidRDefault="001D68AA" w:rsidP="001D68AA">
      <w:pPr>
        <w:pStyle w:val="Ttulo1"/>
        <w:rPr>
          <w:color w:val="auto"/>
        </w:rPr>
      </w:pPr>
      <w:r>
        <w:rPr>
          <w:color w:val="auto"/>
        </w:rPr>
        <w:t>2. Objetivo y alcance</w:t>
      </w:r>
    </w:p>
    <w:p w14:paraId="4D74D531" w14:textId="77777777" w:rsidR="001D68AA" w:rsidRDefault="001D68AA" w:rsidP="001D68AA">
      <w:pPr>
        <w:spacing w:after="120"/>
        <w:jc w:val="both"/>
      </w:pPr>
      <w:r>
        <w:rPr>
          <w:b/>
          <w:bCs/>
        </w:rPr>
        <w:t xml:space="preserve">Objetivo: </w:t>
      </w:r>
      <w:r>
        <w:t>definir la arquitectura objetivo (To-Be) de la capa de inteligencia de datos del Centro de Monitoreo Sectorial (CMS) del Ministerio de Minas y Energía, como Fase III del proyecto de inversión BPIN 202400000000198, de manera que sirva de base para su priorización, contratación y ejecución.</w:t>
      </w:r>
    </w:p>
    <w:p w14:paraId="162392CB" w14:textId="77777777" w:rsidR="001D68AA" w:rsidRDefault="001D68AA" w:rsidP="001D68AA">
      <w:pPr>
        <w:spacing w:after="120"/>
        <w:jc w:val="both"/>
      </w:pPr>
      <w:r>
        <w:rPr>
          <w:b/>
          <w:bCs/>
        </w:rPr>
        <w:t xml:space="preserve">Alcance: </w:t>
      </w:r>
      <w:r>
        <w:t>el documento cubre los dominios de Negocio, Información, Sistemas, Tecnología y Seguridad del MRAE 3.0 aplicados a la capa de datos (gobierno del dato, Lakehouse, calidad y semántica, analítica y publicación). No cubre el rediseño de las Fases I y II del CMS, que se toman como base ya ejecutada o en ejecución, ni reemplaza el instrumento de levantamiento As-Is de fuentes e integraciones en curso. Está dirigido a las instancias técnica, de entidades adscritas y directiva que participarán en las rondas de socialización y aprobación descritas en la sección 13.</w:t>
      </w:r>
    </w:p>
    <w:p w14:paraId="6DC32EFD" w14:textId="77777777" w:rsidR="001D68AA" w:rsidRPr="0088773D" w:rsidRDefault="001D68AA" w:rsidP="001D68AA">
      <w:pPr>
        <w:pStyle w:val="Ttulo1"/>
        <w:rPr>
          <w:color w:val="auto"/>
        </w:rPr>
      </w:pPr>
      <w:r>
        <w:rPr>
          <w:color w:val="auto"/>
        </w:rPr>
        <w:t>3. Encuadre: la arquitectura de datos como Fase III del CMS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6060"/>
        <w:gridCol w:w="1600"/>
      </w:tblGrid>
      <w:tr w:rsidR="001D68AA" w:rsidRPr="001A7A7F" w14:paraId="4A88F668" w14:textId="77777777" w:rsidTr="00FB1990">
        <w:trPr>
          <w:tblHeader/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3EE976B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Fase</w:t>
            </w:r>
          </w:p>
        </w:tc>
        <w:tc>
          <w:tcPr>
            <w:tcW w:w="60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333D949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Alcance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7239146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Estado</w:t>
            </w:r>
          </w:p>
        </w:tc>
      </w:tr>
      <w:tr w:rsidR="001D68AA" w:rsidRPr="001A7A7F" w14:paraId="73CCEAC3" w14:textId="77777777" w:rsidTr="00FB1990">
        <w:trPr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361D4AB" w14:textId="77777777" w:rsidR="001D68AA" w:rsidRPr="001A7A7F" w:rsidRDefault="001D68AA" w:rsidP="00AC0CD0">
            <w:r>
              <w:rPr>
                <w:sz w:val="18"/>
                <w:szCs w:val="18"/>
              </w:rPr>
              <w:t>Fase I (2025)</w:t>
            </w:r>
          </w:p>
        </w:tc>
        <w:tc>
          <w:tcPr>
            <w:tcW w:w="60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B285247" w14:textId="77777777" w:rsidR="001D68AA" w:rsidRPr="001A7A7F" w:rsidRDefault="001D68AA" w:rsidP="00AC0CD0">
            <w:r>
              <w:rPr>
                <w:sz w:val="18"/>
                <w:szCs w:val="18"/>
              </w:rPr>
              <w:t>Plataforma base: microdatacenter, HCI, red segmentada, seguridad perimetral, SIEM, sandbox, backup, videowall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C6EFCE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4E94370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Existente</w:t>
            </w:r>
          </w:p>
        </w:tc>
      </w:tr>
      <w:tr w:rsidR="001D68AA" w:rsidRPr="001A7A7F" w14:paraId="13F2051D" w14:textId="77777777" w:rsidTr="00FB1990">
        <w:trPr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7573B32" w14:textId="77777777" w:rsidR="001D68AA" w:rsidRPr="001A7A7F" w:rsidRDefault="001D68AA" w:rsidP="00AC0CD0">
            <w:r>
              <w:rPr>
                <w:sz w:val="18"/>
                <w:szCs w:val="18"/>
              </w:rPr>
              <w:t>Fase II (2026)</w:t>
            </w:r>
          </w:p>
        </w:tc>
        <w:tc>
          <w:tcPr>
            <w:tcW w:w="60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886A67D" w14:textId="77777777" w:rsidR="001D68AA" w:rsidRPr="001A7A7F" w:rsidRDefault="001D68AA" w:rsidP="00AC0CD0">
            <w:r>
              <w:rPr>
                <w:sz w:val="18"/>
                <w:szCs w:val="18"/>
              </w:rPr>
              <w:t>Sitio alterno DRP, capacidades avanzadas de ciberseguridad, operación 24/7 SOC/NOC/CSIRT, interoperabilidad y MFT, renovación de licenciamiento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0ADBB2A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09048450" w14:textId="77777777" w:rsidTr="00FB1990">
        <w:trPr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6BAEE9E" w14:textId="77777777" w:rsidR="001D68AA" w:rsidRPr="001A7A7F" w:rsidRDefault="001D68AA" w:rsidP="00AC0CD0">
            <w:r>
              <w:rPr>
                <w:sz w:val="18"/>
                <w:szCs w:val="18"/>
              </w:rPr>
              <w:t>Fase III (propuesta)</w:t>
            </w:r>
          </w:p>
        </w:tc>
        <w:tc>
          <w:tcPr>
            <w:tcW w:w="60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C610F60" w14:textId="77777777" w:rsidR="001D68AA" w:rsidRPr="001A7A7F" w:rsidRDefault="001D68AA" w:rsidP="00AC0CD0">
            <w:r>
              <w:rPr>
                <w:sz w:val="18"/>
                <w:szCs w:val="18"/>
              </w:rPr>
              <w:t>Capa de inteligencia de datos sectoriales: gobierno del dato, Lakehouse, calidad y semántica, analítica y publicación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5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2977F8A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Fase III</w:t>
            </w:r>
          </w:p>
        </w:tc>
      </w:tr>
    </w:tbl>
    <w:p w14:paraId="0D54A6DE" w14:textId="77777777" w:rsidR="001D68AA" w:rsidRPr="001A7A7F" w:rsidRDefault="001D68AA" w:rsidP="001D68AA">
      <w:pPr>
        <w:spacing w:after="120"/>
      </w:pPr>
      <w:r>
        <w:rPr>
          <w:b/>
          <w:bCs/>
        </w:rPr>
        <w:t xml:space="preserve">Consecuencia de encuadre: </w:t>
      </w:r>
      <w:r>
        <w:t>la arquitectura To-Be no compite por presupuesto con el CMS; es su continuidad lógica y aprovecha una inversión ya ejecutada.</w:t>
      </w:r>
    </w:p>
    <w:p w14:paraId="039246CB" w14:textId="77777777" w:rsidR="001D68AA" w:rsidRPr="001A7A7F" w:rsidRDefault="001D68AA" w:rsidP="001D68AA">
      <w:r>
        <w:br w:type="page"/>
      </w:r>
    </w:p>
    <w:p w14:paraId="1DB28E27" w14:textId="77777777" w:rsidR="001D68AA" w:rsidRPr="001A7A7F" w:rsidRDefault="001D68AA" w:rsidP="001D68AA">
      <w:pPr>
        <w:pStyle w:val="Ttulo1"/>
        <w:rPr>
          <w:color w:val="auto"/>
        </w:rPr>
      </w:pPr>
      <w:r>
        <w:rPr>
          <w:color w:val="auto"/>
        </w:rPr>
        <w:lastRenderedPageBreak/>
        <w:t xml:space="preserve"> 4. Marco estratégico y normativo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0"/>
        <w:gridCol w:w="5960"/>
      </w:tblGrid>
      <w:tr w:rsidR="001D68AA" w:rsidRPr="001A7A7F" w14:paraId="13CA423F" w14:textId="77777777" w:rsidTr="00FB1990">
        <w:trPr>
          <w:tblHeader/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60427C7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Instrumento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876E209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Aporte al To-Be</w:t>
            </w:r>
          </w:p>
        </w:tc>
      </w:tr>
      <w:tr w:rsidR="001D68AA" w:rsidRPr="001A7A7F" w14:paraId="45392FBF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15C2F98" w14:textId="77777777" w:rsidR="001D68AA" w:rsidRPr="001A7A7F" w:rsidRDefault="001D68AA" w:rsidP="00AC0CD0">
            <w:r>
              <w:rPr>
                <w:sz w:val="18"/>
                <w:szCs w:val="18"/>
              </w:rPr>
              <w:t>PETI 2025 (18-jun-2025)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89AC9B6" w14:textId="77777777" w:rsidR="001D68AA" w:rsidRPr="001A7A7F" w:rsidRDefault="001D68AA" w:rsidP="00AC0CD0">
            <w:r>
              <w:rPr>
                <w:sz w:val="18"/>
                <w:szCs w:val="18"/>
              </w:rPr>
              <w:t>Madurez de AE e interoperabilidad, Infraestructura de Datos sectorial y portafolio 2025-2028</w:t>
            </w:r>
          </w:p>
        </w:tc>
      </w:tr>
      <w:tr w:rsidR="001D68AA" w:rsidRPr="001A7A7F" w14:paraId="22067996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DE98A0E" w14:textId="77777777" w:rsidR="001D68AA" w:rsidRPr="001A7A7F" w:rsidRDefault="001D68AA" w:rsidP="00AC0CD0">
            <w:r>
              <w:rPr>
                <w:sz w:val="18"/>
                <w:szCs w:val="18"/>
              </w:rPr>
              <w:t>Resolución 40199 de 2021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362027E" w14:textId="77777777" w:rsidR="001D68AA" w:rsidRPr="001A7A7F" w:rsidRDefault="001D68AA" w:rsidP="00AC0CD0">
            <w:r>
              <w:rPr>
                <w:sz w:val="18"/>
                <w:szCs w:val="18"/>
              </w:rPr>
              <w:t>Modelo de Gobierno de TI y de Gobierno de Datos del sector minero-energético</w:t>
            </w:r>
          </w:p>
        </w:tc>
      </w:tr>
      <w:tr w:rsidR="001D68AA" w:rsidRPr="001A7A7F" w14:paraId="0763CA91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D7332DA" w14:textId="77777777" w:rsidR="001D68AA" w:rsidRPr="001A7A7F" w:rsidRDefault="001D68AA" w:rsidP="00AC0CD0">
            <w:r>
              <w:rPr>
                <w:sz w:val="18"/>
                <w:szCs w:val="18"/>
              </w:rPr>
              <w:t>Resolución 40559 de 2025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772BA58" w14:textId="77777777" w:rsidR="001D68AA" w:rsidRPr="001A7A7F" w:rsidRDefault="001D68AA" w:rsidP="00AC0CD0">
            <w:r>
              <w:rPr>
                <w:sz w:val="18"/>
                <w:szCs w:val="18"/>
              </w:rPr>
              <w:t>Interoperabilidad para el reporte de agentes en formato JSON</w:t>
            </w:r>
          </w:p>
        </w:tc>
      </w:tr>
      <w:tr w:rsidR="001D68AA" w:rsidRPr="001A7A7F" w14:paraId="64BFE70F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A5ED540" w14:textId="77777777" w:rsidR="001D68AA" w:rsidRPr="001A7A7F" w:rsidRDefault="001D68AA" w:rsidP="00AC0CD0">
            <w:r>
              <w:rPr>
                <w:sz w:val="18"/>
                <w:szCs w:val="18"/>
              </w:rPr>
              <w:t>CONPES 3995 y Ley 1931 de 2018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327B10C" w14:textId="77777777" w:rsidR="001D68AA" w:rsidRPr="001A7A7F" w:rsidRDefault="001D68AA" w:rsidP="00AC0CD0">
            <w:r>
              <w:rPr>
                <w:sz w:val="18"/>
                <w:szCs w:val="18"/>
              </w:rPr>
              <w:t>Seguridad digital e infraestructura crítica del Estado; el sector es pilar económico</w:t>
            </w:r>
          </w:p>
        </w:tc>
      </w:tr>
      <w:tr w:rsidR="001D68AA" w:rsidRPr="001A7A7F" w14:paraId="04AB12C1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1101227" w14:textId="77777777" w:rsidR="001D68AA" w:rsidRPr="001A7A7F" w:rsidRDefault="001D68AA" w:rsidP="00AC0CD0">
            <w:pPr>
              <w:rPr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MSPI (MinTIC) e ISO/IEC 27001:2022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09524A1" w14:textId="77777777" w:rsidR="001D68AA" w:rsidRPr="001A7A7F" w:rsidRDefault="001D68AA" w:rsidP="00AC0CD0">
            <w:r>
              <w:rPr>
                <w:sz w:val="18"/>
                <w:szCs w:val="18"/>
              </w:rPr>
              <w:t>Modelo de seguridad y catálogo de controles del Anexo A</w:t>
            </w:r>
          </w:p>
        </w:tc>
      </w:tr>
      <w:tr w:rsidR="001D68AA" w:rsidRPr="001A7A7F" w14:paraId="12889F35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1FB168F" w14:textId="77777777" w:rsidR="001D68AA" w:rsidRPr="001A7A7F" w:rsidRDefault="001D68AA" w:rsidP="00AC0CD0">
            <w:r>
              <w:rPr>
                <w:sz w:val="18"/>
                <w:szCs w:val="18"/>
              </w:rPr>
              <w:t>ISO/IEC 22301 y 27031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89D3861" w14:textId="77777777" w:rsidR="001D68AA" w:rsidRPr="001A7A7F" w:rsidRDefault="001D68AA" w:rsidP="00AC0CD0">
            <w:r>
              <w:rPr>
                <w:sz w:val="18"/>
                <w:szCs w:val="18"/>
              </w:rPr>
              <w:t>Continuidad del negocio y preparación TIC; sustentan DRP y BIA</w:t>
            </w:r>
          </w:p>
        </w:tc>
      </w:tr>
      <w:tr w:rsidR="001D68AA" w:rsidRPr="001A7A7F" w14:paraId="5B97F78F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E50700D" w14:textId="77777777" w:rsidR="001D68AA" w:rsidRPr="001A7A7F" w:rsidRDefault="001D68AA" w:rsidP="00AC0CD0">
            <w:pPr>
              <w:rPr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NIST CSF 2.0 · CIS Controls v8 · MITRE ATT&amp;CK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EE75441" w14:textId="77777777" w:rsidR="001D68AA" w:rsidRPr="001A7A7F" w:rsidRDefault="001D68AA" w:rsidP="00AC0CD0">
            <w:r>
              <w:rPr>
                <w:sz w:val="18"/>
                <w:szCs w:val="18"/>
              </w:rPr>
              <w:t>Funciones de ciberseguridad, controles priorizados y modelado de amenazas</w:t>
            </w:r>
          </w:p>
        </w:tc>
      </w:tr>
      <w:tr w:rsidR="001D68AA" w:rsidRPr="001A7A7F" w14:paraId="5A6A53E4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00120C2" w14:textId="77777777" w:rsidR="001D68AA" w:rsidRPr="001A7A7F" w:rsidRDefault="001D68AA" w:rsidP="00AC0CD0">
            <w:r>
              <w:rPr>
                <w:sz w:val="18"/>
                <w:szCs w:val="18"/>
              </w:rPr>
              <w:t>IEC 62443 y Modelo Purdue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6529D52" w14:textId="77777777" w:rsidR="001D68AA" w:rsidRPr="001A7A7F" w:rsidRDefault="001D68AA" w:rsidP="00AC0CD0">
            <w:r>
              <w:rPr>
                <w:sz w:val="18"/>
                <w:szCs w:val="18"/>
              </w:rPr>
              <w:t>Seguridad de entornos industriales OT/ICS del sector</w:t>
            </w:r>
          </w:p>
        </w:tc>
      </w:tr>
      <w:tr w:rsidR="001D68AA" w:rsidRPr="001A7A7F" w14:paraId="104B76E3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C212A78" w14:textId="77777777" w:rsidR="001D68AA" w:rsidRPr="001A7A7F" w:rsidRDefault="001D68AA" w:rsidP="00AC0CD0">
            <w:r>
              <w:rPr>
                <w:sz w:val="18"/>
                <w:szCs w:val="18"/>
              </w:rPr>
              <w:t>MRAE 3.0 · TOGAF ADM · MIPG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F6712DC" w14:textId="77777777" w:rsidR="001D68AA" w:rsidRPr="001A7A7F" w:rsidRDefault="001D68AA" w:rsidP="00AC0CD0">
            <w:r>
              <w:rPr>
                <w:sz w:val="18"/>
                <w:szCs w:val="18"/>
              </w:rPr>
              <w:t>Dominios, método y gestión institucional</w:t>
            </w:r>
          </w:p>
        </w:tc>
      </w:tr>
      <w:tr w:rsidR="001D68AA" w:rsidRPr="001A7A7F" w14:paraId="76F8C7CF" w14:textId="77777777" w:rsidTr="00FB1990">
        <w:trPr>
          <w:jc w:val="center"/>
        </w:trPr>
        <w:tc>
          <w:tcPr>
            <w:tcW w:w="3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A1CAAB2" w14:textId="77777777" w:rsidR="001D68AA" w:rsidRPr="001A7A7F" w:rsidRDefault="001D68AA" w:rsidP="00AC0CD0">
            <w:r>
              <w:rPr>
                <w:sz w:val="18"/>
                <w:szCs w:val="18"/>
              </w:rPr>
              <w:t>Acuerdo Marco de Nube Pública V (CCE)</w:t>
            </w:r>
          </w:p>
        </w:tc>
        <w:tc>
          <w:tcPr>
            <w:tcW w:w="59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8CD4C65" w14:textId="77777777" w:rsidR="001D68AA" w:rsidRPr="001A7A7F" w:rsidRDefault="001D68AA" w:rsidP="00AC0CD0">
            <w:r>
              <w:rPr>
                <w:sz w:val="18"/>
                <w:szCs w:val="18"/>
              </w:rPr>
              <w:t>Instrumento de contratación para el escalado analítico de la Fase III</w:t>
            </w:r>
          </w:p>
        </w:tc>
      </w:tr>
    </w:tbl>
    <w:p w14:paraId="411639A0" w14:textId="77777777" w:rsidR="001D68AA" w:rsidRPr="001A7A7F" w:rsidRDefault="001D68AA" w:rsidP="001D68AA">
      <w:r>
        <w:br w:type="page"/>
      </w:r>
    </w:p>
    <w:p w14:paraId="0CAD787C" w14:textId="77777777" w:rsidR="001D68AA" w:rsidRPr="001A7A7F" w:rsidRDefault="001D68AA" w:rsidP="001D68AA">
      <w:pPr>
        <w:pStyle w:val="Ttulo1"/>
        <w:rPr>
          <w:color w:val="auto"/>
        </w:rPr>
      </w:pPr>
      <w:r>
        <w:rPr>
          <w:color w:val="auto"/>
        </w:rPr>
        <w:lastRenderedPageBreak/>
        <w:t>5. Situación actual (As-Is) con evidencia oficial 2026</w:t>
      </w:r>
    </w:p>
    <w:p w14:paraId="75F3D9DA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t>5.1 Plataforma y operación del CMS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00"/>
        <w:gridCol w:w="5160"/>
        <w:gridCol w:w="1600"/>
      </w:tblGrid>
      <w:tr w:rsidR="001D68AA" w:rsidRPr="001A7A7F" w14:paraId="0FE01026" w14:textId="77777777" w:rsidTr="00FB1990">
        <w:trPr>
          <w:tblHeader/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6F971DD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A91F3E4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Detalle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C464C0A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Estado</w:t>
            </w:r>
          </w:p>
        </w:tc>
      </w:tr>
      <w:tr w:rsidR="001D68AA" w:rsidRPr="001A7A7F" w14:paraId="2D3AE4D9" w14:textId="77777777" w:rsidTr="00FB1990">
        <w:trPr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1D84697" w14:textId="77777777" w:rsidR="001D68AA" w:rsidRPr="001A7A7F" w:rsidRDefault="001D68AA" w:rsidP="00AC0CD0">
            <w:r>
              <w:rPr>
                <w:sz w:val="18"/>
                <w:szCs w:val="18"/>
              </w:rPr>
              <w:t>Modelo operativo unificado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118DEF5" w14:textId="77777777" w:rsidR="001D68AA" w:rsidRPr="001A7A7F" w:rsidRDefault="001D68AA" w:rsidP="00AC0CD0">
            <w:r>
              <w:rPr>
                <w:sz w:val="18"/>
                <w:szCs w:val="18"/>
              </w:rPr>
              <w:t>SOC, NOC y CSIRT sectorial bajo un mismo gobierno; roles, turnos y escalamiento; operación 24/7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22E1726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7A86549B" w14:textId="77777777" w:rsidTr="00FB1990">
        <w:trPr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76A2838" w14:textId="77777777" w:rsidR="001D68AA" w:rsidRPr="001A7A7F" w:rsidRDefault="001D68AA" w:rsidP="00AC0CD0">
            <w:r>
              <w:rPr>
                <w:sz w:val="18"/>
                <w:szCs w:val="18"/>
              </w:rPr>
              <w:t>Centro de datos principal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E95C432" w14:textId="77777777" w:rsidR="001D68AA" w:rsidRPr="001A7A7F" w:rsidRDefault="001D68AA" w:rsidP="00AC0CD0">
            <w:r>
              <w:rPr>
                <w:sz w:val="18"/>
                <w:szCs w:val="18"/>
              </w:rPr>
              <w:t>Microdatacenter, HCI, red segmentada, IPv6 doble pila, backup inmutable 3-2-1, videowall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C6EFCE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2949E35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Existente</w:t>
            </w:r>
          </w:p>
        </w:tc>
      </w:tr>
      <w:tr w:rsidR="001D68AA" w:rsidRPr="001A7A7F" w14:paraId="5A71D032" w14:textId="77777777" w:rsidTr="00FB1990">
        <w:trPr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E68BA18" w14:textId="77777777" w:rsidR="001D68AA" w:rsidRPr="001A7A7F" w:rsidRDefault="001D68AA" w:rsidP="00AC0CD0">
            <w:r>
              <w:rPr>
                <w:sz w:val="18"/>
                <w:szCs w:val="18"/>
              </w:rPr>
              <w:t>Sitio alterno (DRP)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2B7E0E4" w14:textId="77777777" w:rsidR="001D68AA" w:rsidRPr="001A7A7F" w:rsidRDefault="001D68AA" w:rsidP="00AC0CD0">
            <w:r>
              <w:rPr>
                <w:sz w:val="18"/>
                <w:szCs w:val="18"/>
              </w:rPr>
              <w:t>Colocation, HCI appliance, backup de 20 servidores, 2 NGFW, 2 switches core, SIEM alterno, EPP con ZTNA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33B712E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4B3560B0" w14:textId="77777777" w:rsidTr="00FB1990">
        <w:trPr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B4CE9E0" w14:textId="77777777" w:rsidR="001D68AA" w:rsidRPr="001A7A7F" w:rsidRDefault="001D68AA" w:rsidP="00AC0CD0">
            <w:r>
              <w:rPr>
                <w:sz w:val="18"/>
                <w:szCs w:val="18"/>
              </w:rPr>
              <w:t>Continuidad documentada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0B51CCE" w14:textId="77777777" w:rsidR="001D68AA" w:rsidRPr="001A7A7F" w:rsidRDefault="001D68AA" w:rsidP="00AC0CD0">
            <w:r>
              <w:rPr>
                <w:sz w:val="18"/>
                <w:szCs w:val="18"/>
              </w:rPr>
              <w:t>Planes DRP y BIA bajo ISO 22301, 27001 y 27031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F1EC9ED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10DF6792" w14:textId="77777777" w:rsidTr="00FB1990">
        <w:trPr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9CB26BD" w14:textId="77777777" w:rsidR="001D68AA" w:rsidRPr="001A7A7F" w:rsidRDefault="001D68AA" w:rsidP="00AC0CD0">
            <w:r>
              <w:rPr>
                <w:sz w:val="18"/>
                <w:szCs w:val="18"/>
              </w:rPr>
              <w:t>Capacidades avanzadas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19A0297" w14:textId="77777777" w:rsidR="001D68AA" w:rsidRPr="001A7A7F" w:rsidRDefault="001D68AA" w:rsidP="00AC0CD0">
            <w:r>
              <w:rPr>
                <w:sz w:val="18"/>
                <w:szCs w:val="18"/>
              </w:rPr>
              <w:t>WAF, SOAR, decepción, CTEM, IAM-MFA, remediación de vulnerabilidades, pruebas DAST/API, MFT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C624434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63F1DFA1" w14:textId="77777777" w:rsidTr="00FB1990">
        <w:trPr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594F612" w14:textId="77777777" w:rsidR="001D68AA" w:rsidRPr="001A7A7F" w:rsidRDefault="001D68AA" w:rsidP="00AC0CD0">
            <w:r>
              <w:rPr>
                <w:sz w:val="18"/>
                <w:szCs w:val="18"/>
              </w:rPr>
              <w:t>Alta disponibilidad en nube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EB10CEC" w14:textId="77777777" w:rsidR="001D68AA" w:rsidRPr="001A7A7F" w:rsidRDefault="001D68AA" w:rsidP="00AC0CD0">
            <w:r>
              <w:rPr>
                <w:sz w:val="18"/>
                <w:szCs w:val="18"/>
              </w:rPr>
              <w:t>GSLB con DNS inteligente y DNS autoritativo con failover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949814B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1E4BC2ED" w14:textId="77777777" w:rsidTr="00FB1990">
        <w:trPr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11D04F8" w14:textId="77777777" w:rsidR="001D68AA" w:rsidRPr="001A7A7F" w:rsidRDefault="001D68AA" w:rsidP="00AC0CD0">
            <w:r>
              <w:rPr>
                <w:sz w:val="18"/>
                <w:szCs w:val="18"/>
              </w:rPr>
              <w:t>Interoperabilidad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15483FF" w14:textId="77777777" w:rsidR="001D68AA" w:rsidRPr="001A7A7F" w:rsidRDefault="001D68AA" w:rsidP="00AC0CD0">
            <w:r>
              <w:rPr>
                <w:sz w:val="18"/>
                <w:szCs w:val="18"/>
              </w:rPr>
              <w:t>Plataforma de integración para orquestar datos, servicios y eventos; MPLS entre sede principal y CMS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258A8AE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382DC3E3" w14:textId="77777777" w:rsidTr="00FB1990">
        <w:trPr>
          <w:jc w:val="center"/>
        </w:trPr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B81BBEA" w14:textId="77777777" w:rsidR="001D68AA" w:rsidRPr="001A7A7F" w:rsidRDefault="001D68AA" w:rsidP="00AC0CD0">
            <w:r>
              <w:rPr>
                <w:sz w:val="18"/>
                <w:szCs w:val="18"/>
              </w:rPr>
              <w:t>Mesa de servicio</w:t>
            </w:r>
          </w:p>
        </w:tc>
        <w:tc>
          <w:tcPr>
            <w:tcW w:w="5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B12EB3C" w14:textId="77777777" w:rsidR="001D68AA" w:rsidRPr="001A7A7F" w:rsidRDefault="001D68AA" w:rsidP="00AC0CD0">
            <w:r>
              <w:rPr>
                <w:sz w:val="18"/>
                <w:szCs w:val="18"/>
              </w:rPr>
              <w:t>Aranda Service Management como plataforma institucional ITSM, con árbol ITIL, y enrutamiento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C6EFCE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FD70D80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Existente</w:t>
            </w:r>
          </w:p>
        </w:tc>
      </w:tr>
    </w:tbl>
    <w:p w14:paraId="4EC0B3E1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t>5.2 Diagnóstico de seguridad (MSPI) — línea base oficial</w:t>
      </w:r>
    </w:p>
    <w:p w14:paraId="51C1A577" w14:textId="77777777" w:rsidR="001D68AA" w:rsidRPr="001A7A7F" w:rsidRDefault="001D68AA" w:rsidP="001D68AA">
      <w:pPr>
        <w:spacing w:after="120"/>
      </w:pPr>
      <w:r>
        <w:t>El diagnóstico aplicado con el instrumento del MSPI establece la línea base por dominio y el nivel meta. Esta es la referencia oficial del As-Is de seguridad.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3360"/>
        <w:gridCol w:w="1900"/>
        <w:gridCol w:w="1900"/>
      </w:tblGrid>
      <w:tr w:rsidR="001D68AA" w:rsidRPr="001A7A7F" w14:paraId="26EFD9EE" w14:textId="77777777" w:rsidTr="00FB1990">
        <w:trPr>
          <w:tblHeader/>
          <w:jc w:val="center"/>
        </w:trPr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CF5A132" w14:textId="77777777" w:rsidR="001D68AA" w:rsidRPr="009D5930" w:rsidRDefault="001D68AA" w:rsidP="00AC0CD0">
            <w:r>
              <w:rPr>
                <w:b/>
                <w:bCs/>
                <w:sz w:val="18"/>
                <w:szCs w:val="18"/>
              </w:rPr>
              <w:t>Dominio</w:t>
            </w:r>
          </w:p>
        </w:tc>
        <w:tc>
          <w:tcPr>
            <w:tcW w:w="3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635C245" w14:textId="77777777" w:rsidR="001D68AA" w:rsidRPr="009D5930" w:rsidRDefault="001D68AA" w:rsidP="00AC0CD0">
            <w:r>
              <w:rPr>
                <w:b/>
                <w:bCs/>
                <w:sz w:val="18"/>
                <w:szCs w:val="18"/>
              </w:rPr>
              <w:t>Brecha de partida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76AB95F" w14:textId="77777777" w:rsidR="001D68AA" w:rsidRPr="009D5930" w:rsidRDefault="001D68AA" w:rsidP="00AC0CD0">
            <w:r>
              <w:rPr>
                <w:b/>
                <w:bCs/>
                <w:sz w:val="18"/>
                <w:szCs w:val="18"/>
              </w:rPr>
              <w:t>Madurez inicial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4561EFE" w14:textId="77777777" w:rsidR="001D68AA" w:rsidRPr="009D5930" w:rsidRDefault="001D68AA" w:rsidP="00AC0CD0">
            <w:r>
              <w:rPr>
                <w:b/>
                <w:bCs/>
                <w:sz w:val="18"/>
                <w:szCs w:val="18"/>
              </w:rPr>
              <w:t>Nivel meta</w:t>
            </w:r>
          </w:p>
        </w:tc>
      </w:tr>
      <w:tr w:rsidR="001D68AA" w:rsidRPr="001A7A7F" w14:paraId="7080D755" w14:textId="77777777" w:rsidTr="00FB1990">
        <w:trPr>
          <w:jc w:val="center"/>
        </w:trPr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A88496A" w14:textId="77777777" w:rsidR="001D68AA" w:rsidRPr="001A7A7F" w:rsidRDefault="001D68AA" w:rsidP="00AC0CD0">
            <w:r>
              <w:rPr>
                <w:sz w:val="18"/>
                <w:szCs w:val="18"/>
              </w:rPr>
              <w:t>Gobierno y gestión</w:t>
            </w:r>
          </w:p>
        </w:tc>
        <w:tc>
          <w:tcPr>
            <w:tcW w:w="3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9754C10" w14:textId="77777777" w:rsidR="001D68AA" w:rsidRPr="001A7A7F" w:rsidRDefault="001D68AA" w:rsidP="00AC0CD0">
            <w:r>
              <w:rPr>
                <w:sz w:val="18"/>
                <w:szCs w:val="18"/>
              </w:rPr>
              <w:t>Sin CISO formal; política desactualizada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3F3D282" w14:textId="77777777" w:rsidR="001D68AA" w:rsidRPr="001A7A7F" w:rsidRDefault="001D68AA" w:rsidP="00AC0CD0">
            <w:r>
              <w:rPr>
                <w:sz w:val="18"/>
                <w:szCs w:val="18"/>
              </w:rPr>
              <w:t>Inicial (1)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BDFB71F" w14:textId="77777777" w:rsidR="001D68AA" w:rsidRPr="001A7A7F" w:rsidRDefault="001D68AA" w:rsidP="00AC0CD0">
            <w:r>
              <w:rPr>
                <w:sz w:val="18"/>
                <w:szCs w:val="18"/>
              </w:rPr>
              <w:t>Definido (3)</w:t>
            </w:r>
          </w:p>
        </w:tc>
      </w:tr>
      <w:tr w:rsidR="001D68AA" w:rsidRPr="001A7A7F" w14:paraId="2159F2E5" w14:textId="77777777" w:rsidTr="00FB1990">
        <w:trPr>
          <w:jc w:val="center"/>
        </w:trPr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9D1C521" w14:textId="77777777" w:rsidR="001D68AA" w:rsidRPr="001A7A7F" w:rsidRDefault="001D68AA" w:rsidP="00AC0CD0">
            <w:r>
              <w:rPr>
                <w:sz w:val="18"/>
                <w:szCs w:val="18"/>
              </w:rPr>
              <w:t>Seguridad de redes</w:t>
            </w:r>
          </w:p>
        </w:tc>
        <w:tc>
          <w:tcPr>
            <w:tcW w:w="3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F84302C" w14:textId="77777777" w:rsidR="001D68AA" w:rsidRPr="001A7A7F" w:rsidRDefault="001D68AA" w:rsidP="00AC0CD0">
            <w:r>
              <w:rPr>
                <w:sz w:val="18"/>
                <w:szCs w:val="18"/>
              </w:rPr>
              <w:t>Segmentación parcial; reglas sin revisar; sin IPS/IDS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D38CFC4" w14:textId="77777777" w:rsidR="001D68AA" w:rsidRPr="001A7A7F" w:rsidRDefault="001D68AA" w:rsidP="00AC0CD0">
            <w:r>
              <w:rPr>
                <w:sz w:val="18"/>
                <w:szCs w:val="18"/>
              </w:rPr>
              <w:t>Básico (2)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7876C7D" w14:textId="77777777" w:rsidR="001D68AA" w:rsidRPr="001A7A7F" w:rsidRDefault="001D68AA" w:rsidP="00AC0CD0">
            <w:r>
              <w:rPr>
                <w:sz w:val="18"/>
                <w:szCs w:val="18"/>
              </w:rPr>
              <w:t>Avanzado (4)</w:t>
            </w:r>
          </w:p>
        </w:tc>
      </w:tr>
      <w:tr w:rsidR="001D68AA" w:rsidRPr="001A7A7F" w14:paraId="28090640" w14:textId="77777777" w:rsidTr="00FB1990">
        <w:trPr>
          <w:jc w:val="center"/>
        </w:trPr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2C7FBDC" w14:textId="77777777" w:rsidR="001D68AA" w:rsidRPr="001A7A7F" w:rsidRDefault="001D68AA" w:rsidP="00AC0CD0">
            <w:r>
              <w:rPr>
                <w:sz w:val="18"/>
                <w:szCs w:val="18"/>
              </w:rPr>
              <w:t>Control de acceso</w:t>
            </w:r>
          </w:p>
        </w:tc>
        <w:tc>
          <w:tcPr>
            <w:tcW w:w="3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D15D109" w14:textId="77777777" w:rsidR="001D68AA" w:rsidRPr="001A7A7F" w:rsidRDefault="001D68AA" w:rsidP="00AC0CD0">
            <w:r>
              <w:rPr>
                <w:sz w:val="18"/>
                <w:szCs w:val="18"/>
              </w:rPr>
              <w:t>MFA no implementado; sin gestión PAM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900FCE4" w14:textId="77777777" w:rsidR="001D68AA" w:rsidRPr="001A7A7F" w:rsidRDefault="001D68AA" w:rsidP="00AC0CD0">
            <w:r>
              <w:rPr>
                <w:sz w:val="18"/>
                <w:szCs w:val="18"/>
              </w:rPr>
              <w:t>Básico (2)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5F2A0A0" w14:textId="77777777" w:rsidR="001D68AA" w:rsidRPr="001A7A7F" w:rsidRDefault="001D68AA" w:rsidP="00AC0CD0">
            <w:r>
              <w:rPr>
                <w:sz w:val="18"/>
                <w:szCs w:val="18"/>
              </w:rPr>
              <w:t>Avanzado (4)</w:t>
            </w:r>
          </w:p>
        </w:tc>
      </w:tr>
      <w:tr w:rsidR="001D68AA" w:rsidRPr="001A7A7F" w14:paraId="796F63BB" w14:textId="77777777" w:rsidTr="00FB1990">
        <w:trPr>
          <w:jc w:val="center"/>
        </w:trPr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D417CD8" w14:textId="77777777" w:rsidR="001D68AA" w:rsidRPr="001A7A7F" w:rsidRDefault="001D68AA" w:rsidP="00AC0CD0">
            <w:r>
              <w:rPr>
                <w:sz w:val="18"/>
                <w:szCs w:val="18"/>
              </w:rPr>
              <w:t>Monitoreo y detección</w:t>
            </w:r>
          </w:p>
        </w:tc>
        <w:tc>
          <w:tcPr>
            <w:tcW w:w="3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45F6221" w14:textId="77777777" w:rsidR="001D68AA" w:rsidRPr="001A7A7F" w:rsidRDefault="001D68AA" w:rsidP="00AC0CD0">
            <w:r>
              <w:rPr>
                <w:sz w:val="18"/>
                <w:szCs w:val="18"/>
              </w:rPr>
              <w:t>Sin SIEM centralizado; logs dispersos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A4468F9" w14:textId="77777777" w:rsidR="001D68AA" w:rsidRPr="001A7A7F" w:rsidRDefault="001D68AA" w:rsidP="00AC0CD0">
            <w:r>
              <w:rPr>
                <w:sz w:val="18"/>
                <w:szCs w:val="18"/>
              </w:rPr>
              <w:t>Inicial (1)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D7C0241" w14:textId="77777777" w:rsidR="001D68AA" w:rsidRPr="001A7A7F" w:rsidRDefault="001D68AA" w:rsidP="00AC0CD0">
            <w:r>
              <w:rPr>
                <w:sz w:val="18"/>
                <w:szCs w:val="18"/>
              </w:rPr>
              <w:t>Definido (3)</w:t>
            </w:r>
          </w:p>
        </w:tc>
      </w:tr>
      <w:tr w:rsidR="001D68AA" w:rsidRPr="001A7A7F" w14:paraId="622409F9" w14:textId="77777777" w:rsidTr="00FB1990">
        <w:trPr>
          <w:jc w:val="center"/>
        </w:trPr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1520142" w14:textId="77777777" w:rsidR="001D68AA" w:rsidRPr="001A7A7F" w:rsidRDefault="001D68AA" w:rsidP="00AC0CD0">
            <w:r>
              <w:rPr>
                <w:sz w:val="18"/>
                <w:szCs w:val="18"/>
              </w:rPr>
              <w:t>Gestión de incidentes</w:t>
            </w:r>
          </w:p>
        </w:tc>
        <w:tc>
          <w:tcPr>
            <w:tcW w:w="3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207126D" w14:textId="77777777" w:rsidR="001D68AA" w:rsidRPr="001A7A7F" w:rsidRDefault="001D68AA" w:rsidP="00AC0CD0">
            <w:r>
              <w:rPr>
                <w:sz w:val="18"/>
                <w:szCs w:val="18"/>
              </w:rPr>
              <w:t>Procedimientos informales; sin CSIRT formal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45AA415" w14:textId="77777777" w:rsidR="001D68AA" w:rsidRPr="001A7A7F" w:rsidRDefault="001D68AA" w:rsidP="00AC0CD0">
            <w:r>
              <w:rPr>
                <w:sz w:val="18"/>
                <w:szCs w:val="18"/>
              </w:rPr>
              <w:t>Ad hoc (1)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4559439" w14:textId="77777777" w:rsidR="001D68AA" w:rsidRPr="001A7A7F" w:rsidRDefault="001D68AA" w:rsidP="00AC0CD0">
            <w:r>
              <w:rPr>
                <w:sz w:val="18"/>
                <w:szCs w:val="18"/>
              </w:rPr>
              <w:t>Definido (3)</w:t>
            </w:r>
          </w:p>
        </w:tc>
      </w:tr>
      <w:tr w:rsidR="001D68AA" w:rsidRPr="001A7A7F" w14:paraId="7EC9ACC8" w14:textId="77777777" w:rsidTr="00FB1990">
        <w:trPr>
          <w:jc w:val="center"/>
        </w:trPr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B9F894C" w14:textId="77777777" w:rsidR="001D68AA" w:rsidRPr="001A7A7F" w:rsidRDefault="001D68AA" w:rsidP="00AC0CD0">
            <w:r>
              <w:rPr>
                <w:sz w:val="18"/>
                <w:szCs w:val="18"/>
              </w:rPr>
              <w:t>Seguridad OT/ICS</w:t>
            </w:r>
          </w:p>
        </w:tc>
        <w:tc>
          <w:tcPr>
            <w:tcW w:w="3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262FB68" w14:textId="77777777" w:rsidR="001D68AA" w:rsidRPr="001A7A7F" w:rsidRDefault="001D68AA" w:rsidP="00AC0CD0">
            <w:r>
              <w:rPr>
                <w:sz w:val="18"/>
                <w:szCs w:val="18"/>
              </w:rPr>
              <w:t>SCADA sin segmentación; protocolos sin auditar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A53939B" w14:textId="77777777" w:rsidR="001D68AA" w:rsidRPr="001A7A7F" w:rsidRDefault="001D68AA" w:rsidP="00AC0CD0">
            <w:r>
              <w:rPr>
                <w:sz w:val="18"/>
                <w:szCs w:val="18"/>
              </w:rPr>
              <w:t>Crítico (0)</w:t>
            </w:r>
          </w:p>
        </w:tc>
        <w:tc>
          <w:tcPr>
            <w:tcW w:w="1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3527E72" w14:textId="77777777" w:rsidR="001D68AA" w:rsidRPr="001A7A7F" w:rsidRDefault="001D68AA" w:rsidP="00AC0CD0">
            <w:r>
              <w:rPr>
                <w:sz w:val="18"/>
                <w:szCs w:val="18"/>
              </w:rPr>
              <w:t>Básico (2)</w:t>
            </w:r>
          </w:p>
        </w:tc>
      </w:tr>
    </w:tbl>
    <w:p w14:paraId="19F67EE7" w14:textId="77777777" w:rsidR="001D68AA" w:rsidRDefault="001D68AA" w:rsidP="001D68AA">
      <w:pPr>
        <w:spacing w:after="120"/>
        <w:jc w:val="both"/>
      </w:pPr>
    </w:p>
    <w:p w14:paraId="206F1C57" w14:textId="77777777" w:rsidR="001D68AA" w:rsidRPr="001A7A7F" w:rsidRDefault="001D68AA" w:rsidP="001D68AA">
      <w:pPr>
        <w:spacing w:after="120"/>
        <w:jc w:val="both"/>
      </w:pPr>
      <w:r>
        <w:t>El assessment de exposición externa cubrió 52 activos públicos, con 1 hallazgo crítico, 22 altos y 16 medios, y una hoja de ruta de remediación 30-60-90. El plan MSPI contempla doce iniciativas priorizadas; entre las críticas, SIEM centralizado, MFA institucional y segmentación OT/IT se encuentran en ejecución.</w:t>
      </w:r>
    </w:p>
    <w:p w14:paraId="619F06D3" w14:textId="77777777" w:rsidR="001D68AA" w:rsidRPr="001A7A7F" w:rsidRDefault="001D68AA" w:rsidP="001D68AA">
      <w:pPr>
        <w:pStyle w:val="Ttulo2"/>
        <w:jc w:val="both"/>
        <w:rPr>
          <w:color w:val="auto"/>
        </w:rPr>
      </w:pPr>
      <w:r>
        <w:rPr>
          <w:color w:val="auto"/>
        </w:rPr>
        <w:t>5.3 Brecha principal</w:t>
      </w:r>
    </w:p>
    <w:p w14:paraId="2CD5C8F6" w14:textId="77777777" w:rsidR="001D68AA" w:rsidRPr="001A7A7F" w:rsidRDefault="001D68AA" w:rsidP="001D68AA">
      <w:pPr>
        <w:spacing w:after="120"/>
        <w:jc w:val="both"/>
      </w:pPr>
      <w:r>
        <w:rPr>
          <w:b/>
          <w:bCs/>
        </w:rPr>
        <w:t xml:space="preserve">La capa de datos sigue siendo el vacío: </w:t>
      </w:r>
      <w:r>
        <w:t>no existe inventario consolidado de fuentes e integraciones, ni Lakehouse gobernado, ni modelo semántico. Su levantamiento se realiza con el instrumento As-Is entregado y es el insumo crítico de la Fase III.</w:t>
      </w:r>
    </w:p>
    <w:p w14:paraId="208B45F5" w14:textId="77777777" w:rsidR="001D68AA" w:rsidRPr="003455B0" w:rsidRDefault="001D68AA" w:rsidP="001D68AA">
      <w:pPr>
        <w:pStyle w:val="Ttulo1"/>
        <w:rPr>
          <w:color w:val="auto"/>
        </w:rPr>
      </w:pPr>
      <w:r>
        <w:br w:type="page"/>
      </w:r>
      <w:r>
        <w:rPr>
          <w:color w:val="auto"/>
        </w:rPr>
        <w:lastRenderedPageBreak/>
        <w:t>6. Arquitectura To-Be por dominios del MRAE</w:t>
      </w:r>
    </w:p>
    <w:p w14:paraId="1A079183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t>6.1 Negocio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160"/>
      </w:tblGrid>
      <w:tr w:rsidR="001D68AA" w:rsidRPr="001A7A7F" w14:paraId="04CFD89F" w14:textId="77777777" w:rsidTr="00FB1990">
        <w:trPr>
          <w:tblHeader/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F660956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880EB4D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Justificación</w:t>
            </w:r>
          </w:p>
        </w:tc>
      </w:tr>
      <w:tr w:rsidR="001D68AA" w:rsidRPr="001A7A7F" w14:paraId="2C2A8873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4B5F1C0" w14:textId="77777777" w:rsidR="001D68AA" w:rsidRPr="001A7A7F" w:rsidRDefault="001D68AA" w:rsidP="00AC0CD0">
            <w:r>
              <w:rPr>
                <w:sz w:val="18"/>
                <w:szCs w:val="18"/>
              </w:rPr>
              <w:t>Cadena de valor orientada a la decisión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308301C" w14:textId="77777777" w:rsidR="001D68AA" w:rsidRPr="001A7A7F" w:rsidRDefault="001D68AA" w:rsidP="00AC0CD0"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Captura → calidad → analítica → publicación → decisión → retroalimentación</w:t>
            </w:r>
          </w:p>
        </w:tc>
      </w:tr>
      <w:tr w:rsidR="001D68AA" w:rsidRPr="001A7A7F" w14:paraId="61D90164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6C17B4A" w14:textId="77777777" w:rsidR="001D68AA" w:rsidRPr="001A7A7F" w:rsidRDefault="001D68AA" w:rsidP="00AC0CD0">
            <w:r>
              <w:rPr>
                <w:sz w:val="18"/>
                <w:szCs w:val="18"/>
              </w:rPr>
              <w:t>Gobierno de datos sectorial (Res. 40199/2021)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7A3CC14" w14:textId="77777777" w:rsidR="001D68AA" w:rsidRPr="001A7A7F" w:rsidRDefault="001D68AA" w:rsidP="00AC0CD0">
            <w:r>
              <w:rPr>
                <w:sz w:val="18"/>
                <w:szCs w:val="18"/>
              </w:rPr>
              <w:t>Comité de datos y Data Stewards por dominio</w:t>
            </w:r>
          </w:p>
        </w:tc>
      </w:tr>
      <w:tr w:rsidR="001D68AA" w:rsidRPr="001A7A7F" w14:paraId="1351E846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D174958" w14:textId="77777777" w:rsidR="001D68AA" w:rsidRPr="001A7A7F" w:rsidRDefault="001D68AA" w:rsidP="00AC0CD0">
            <w:r>
              <w:rPr>
                <w:sz w:val="18"/>
                <w:szCs w:val="18"/>
              </w:rPr>
              <w:t>Indicadores sectoriales y visualización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165A403" w14:textId="77777777" w:rsidR="001D68AA" w:rsidRPr="001A7A7F" w:rsidRDefault="001D68AA" w:rsidP="00AC0CD0">
            <w:r>
              <w:rPr>
                <w:sz w:val="18"/>
                <w:szCs w:val="18"/>
              </w:rPr>
              <w:t>Tableros de oferta/demanda, producción y regalías sobre el videowall existente</w:t>
            </w:r>
          </w:p>
        </w:tc>
      </w:tr>
    </w:tbl>
    <w:p w14:paraId="48488F75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t>6.2 Información (núcleo de la Fase III)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160"/>
      </w:tblGrid>
      <w:tr w:rsidR="001D68AA" w:rsidRPr="001A7A7F" w14:paraId="45FF252A" w14:textId="77777777" w:rsidTr="00FB1990">
        <w:trPr>
          <w:tblHeader/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2B46707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DE1441E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Justificación</w:t>
            </w:r>
          </w:p>
        </w:tc>
      </w:tr>
      <w:tr w:rsidR="001D68AA" w:rsidRPr="001A7A7F" w14:paraId="7357AF48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841963F" w14:textId="77777777" w:rsidR="001D68AA" w:rsidRPr="001A7A7F" w:rsidRDefault="001D68AA" w:rsidP="00AC0CD0">
            <w:r>
              <w:rPr>
                <w:sz w:val="18"/>
                <w:szCs w:val="18"/>
              </w:rPr>
              <w:t>Lakehouse Medallion (Bronze/Silver on-premise, Gold en nube)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72DCE7F" w14:textId="77777777" w:rsidR="001D68AA" w:rsidRPr="001A7A7F" w:rsidRDefault="001D68AA" w:rsidP="00AC0CD0">
            <w:r>
              <w:rPr>
                <w:sz w:val="18"/>
                <w:szCs w:val="18"/>
              </w:rPr>
              <w:t>Estructurados y no estructurados; formato de tabla abierto para portabilidad</w:t>
            </w:r>
          </w:p>
        </w:tc>
      </w:tr>
      <w:tr w:rsidR="001D68AA" w:rsidRPr="001A7A7F" w14:paraId="7B1E8BB3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5EC527F" w14:textId="77777777" w:rsidR="001D68AA" w:rsidRPr="001A7A7F" w:rsidRDefault="001D68AA" w:rsidP="00AC0CD0">
            <w:r>
              <w:rPr>
                <w:sz w:val="18"/>
                <w:szCs w:val="18"/>
              </w:rPr>
              <w:t>Catálogo, linaje, calidad y ontología (Lenguaje Común)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62596FF" w14:textId="77777777" w:rsidR="001D68AA" w:rsidRPr="001A7A7F" w:rsidRDefault="001D68AA" w:rsidP="00AC0CD0">
            <w:r>
              <w:rPr>
                <w:sz w:val="18"/>
                <w:szCs w:val="18"/>
              </w:rPr>
              <w:t>Cierra la brecha semántica; condición de interoperabilidad real</w:t>
            </w:r>
          </w:p>
        </w:tc>
      </w:tr>
      <w:tr w:rsidR="001D68AA" w:rsidRPr="001A7A7F" w14:paraId="499E9C5A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DE254C7" w14:textId="77777777" w:rsidR="001D68AA" w:rsidRPr="001A7A7F" w:rsidRDefault="001D68AA" w:rsidP="00AC0CD0">
            <w:r>
              <w:rPr>
                <w:sz w:val="18"/>
                <w:szCs w:val="18"/>
              </w:rPr>
              <w:t>Ingesta de agentes en JSON (Res. 40559/2025) y de OT/SCADA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EDB2EC8" w14:textId="77777777" w:rsidR="001D68AA" w:rsidRPr="001A7A7F" w:rsidRDefault="001D68AA" w:rsidP="00AC0CD0">
            <w:r>
              <w:rPr>
                <w:sz w:val="18"/>
                <w:szCs w:val="18"/>
              </w:rPr>
              <w:t>Cumple el lineamiento vigente e incorpora la telemetría industrial del sector</w:t>
            </w:r>
          </w:p>
        </w:tc>
      </w:tr>
      <w:tr w:rsidR="001D68AA" w:rsidRPr="001A7A7F" w14:paraId="7F9523CF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4E0FF89" w14:textId="77777777" w:rsidR="001D68AA" w:rsidRPr="001A7A7F" w:rsidRDefault="001D68AA" w:rsidP="00AC0CD0">
            <w:r>
              <w:rPr>
                <w:sz w:val="18"/>
                <w:szCs w:val="18"/>
              </w:rPr>
              <w:t>Datos abiertos e IDE-ME (OGC)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6B8189E" w14:textId="77777777" w:rsidR="001D68AA" w:rsidRPr="001A7A7F" w:rsidRDefault="001D68AA" w:rsidP="00AC0CD0">
            <w:r>
              <w:rPr>
                <w:sz w:val="18"/>
                <w:szCs w:val="18"/>
              </w:rPr>
              <w:t>Publicación conforme a la Ley 1712/2014 y capa geoespacial sectorial</w:t>
            </w:r>
          </w:p>
        </w:tc>
      </w:tr>
    </w:tbl>
    <w:p w14:paraId="178BC82B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t>6.3 Sistemas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160"/>
      </w:tblGrid>
      <w:tr w:rsidR="001D68AA" w:rsidRPr="001A7A7F" w14:paraId="19CA9173" w14:textId="77777777" w:rsidTr="00FB1990">
        <w:trPr>
          <w:tblHeader/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88AD8C9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1AB7595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Justificación</w:t>
            </w:r>
          </w:p>
        </w:tc>
      </w:tr>
      <w:tr w:rsidR="001D68AA" w:rsidRPr="001A7A7F" w14:paraId="72C8F68D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B3AA4B9" w14:textId="77777777" w:rsidR="001D68AA" w:rsidRPr="001A7A7F" w:rsidRDefault="001D68AA" w:rsidP="00AC0CD0">
            <w:r>
              <w:rPr>
                <w:sz w:val="18"/>
                <w:szCs w:val="18"/>
              </w:rPr>
              <w:t>Plataforma de integración e interoperabilidad (Fase II)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3CE0CAB" w14:textId="77777777" w:rsidR="001D68AA" w:rsidRPr="001A7A7F" w:rsidRDefault="001D68AA" w:rsidP="00AC0CD0">
            <w:r>
              <w:rPr>
                <w:sz w:val="18"/>
                <w:szCs w:val="18"/>
              </w:rPr>
              <w:t>Ya contratada: orquesta datos, servicios y eventos; es el habilitador de la Fase III</w:t>
            </w:r>
          </w:p>
        </w:tc>
      </w:tr>
      <w:tr w:rsidR="001D68AA" w:rsidRPr="001A7A7F" w14:paraId="77B2C17A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2A777C9" w14:textId="77777777" w:rsidR="001D68AA" w:rsidRPr="001A7A7F" w:rsidRDefault="001D68AA" w:rsidP="00AC0CD0">
            <w:r>
              <w:rPr>
                <w:sz w:val="18"/>
                <w:szCs w:val="18"/>
              </w:rPr>
              <w:t>MFT para intercambio controlado y auditable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DAB178A" w14:textId="77777777" w:rsidR="001D68AA" w:rsidRPr="001A7A7F" w:rsidRDefault="001D68AA" w:rsidP="00AC0CD0">
            <w:r>
              <w:rPr>
                <w:sz w:val="18"/>
                <w:szCs w:val="18"/>
              </w:rPr>
              <w:t>Transferencia segura de información crítica con las entidades</w:t>
            </w:r>
          </w:p>
        </w:tc>
      </w:tr>
      <w:tr w:rsidR="001D68AA" w:rsidRPr="001A7A7F" w14:paraId="6AFC07B2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FB555F1" w14:textId="77777777" w:rsidR="001D68AA" w:rsidRPr="001A7A7F" w:rsidRDefault="001D68AA" w:rsidP="00AC0CD0">
            <w:r>
              <w:rPr>
                <w:sz w:val="18"/>
                <w:szCs w:val="18"/>
              </w:rPr>
              <w:t>X-Road / Servicios Ciudadanos Digitales y APIs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AAEB254" w14:textId="77777777" w:rsidR="001D68AA" w:rsidRPr="001A7A7F" w:rsidRDefault="001D68AA" w:rsidP="00AC0CD0">
            <w:r>
              <w:rPr>
                <w:sz w:val="18"/>
                <w:szCs w:val="18"/>
              </w:rPr>
              <w:t>Canal oficial de intercambio interinstitucional</w:t>
            </w:r>
          </w:p>
        </w:tc>
      </w:tr>
      <w:tr w:rsidR="001D68AA" w:rsidRPr="001A7A7F" w14:paraId="297AB4C3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1C026EE" w14:textId="77777777" w:rsidR="001D68AA" w:rsidRPr="001A7A7F" w:rsidRDefault="001D68AA" w:rsidP="00AC0CD0">
            <w:r>
              <w:rPr>
                <w:sz w:val="18"/>
                <w:szCs w:val="18"/>
              </w:rPr>
              <w:t>Analítica avanzada, ML/MLOps y tableros; plataforma G6Flow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3A26EA0" w14:textId="77777777" w:rsidR="001D68AA" w:rsidRPr="001A7A7F" w:rsidRDefault="001D68AA" w:rsidP="00AC0CD0">
            <w:r>
              <w:rPr>
                <w:sz w:val="18"/>
                <w:szCs w:val="18"/>
              </w:rPr>
              <w:t>Explotación del dato reutilizando lo existente</w:t>
            </w:r>
          </w:p>
        </w:tc>
      </w:tr>
    </w:tbl>
    <w:p w14:paraId="63755F00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t>6.4 Tecnología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160"/>
      </w:tblGrid>
      <w:tr w:rsidR="001D68AA" w:rsidRPr="001A7A7F" w14:paraId="73677CEC" w14:textId="77777777" w:rsidTr="00FB1990">
        <w:trPr>
          <w:tblHeader/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8CA6BC0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8947C0A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Justificación</w:t>
            </w:r>
          </w:p>
        </w:tc>
      </w:tr>
      <w:tr w:rsidR="001D68AA" w:rsidRPr="001A7A7F" w14:paraId="3584AE4D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4305C26" w14:textId="77777777" w:rsidR="001D68AA" w:rsidRPr="001A7A7F" w:rsidRDefault="001D68AA" w:rsidP="00AC0CD0">
            <w:pPr>
              <w:rPr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Centro de datos principal (HCI, microdatacenter)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E4C05BB" w14:textId="77777777" w:rsidR="001D68AA" w:rsidRPr="001A7A7F" w:rsidRDefault="001D68AA" w:rsidP="00AC0CD0">
            <w:r>
              <w:rPr>
                <w:sz w:val="18"/>
                <w:szCs w:val="18"/>
              </w:rPr>
              <w:t>Cargas base y datos sensibles; inversión ejecutada en Fase I</w:t>
            </w:r>
          </w:p>
        </w:tc>
      </w:tr>
      <w:tr w:rsidR="001D68AA" w:rsidRPr="001A7A7F" w14:paraId="1A3B08C7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E1F91DF" w14:textId="77777777" w:rsidR="001D68AA" w:rsidRPr="001A7A7F" w:rsidRDefault="001D68AA" w:rsidP="00AC0CD0">
            <w:r>
              <w:rPr>
                <w:sz w:val="18"/>
                <w:szCs w:val="18"/>
              </w:rPr>
              <w:t>Sitio alterno en colocation (DRP)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C2BDFF1" w14:textId="77777777" w:rsidR="001D68AA" w:rsidRPr="001A7A7F" w:rsidRDefault="001D68AA" w:rsidP="00AC0CD0">
            <w:r>
              <w:rPr>
                <w:sz w:val="18"/>
                <w:szCs w:val="18"/>
              </w:rPr>
              <w:t>Continuidad on-premise conforme a ISO 22301/27031; no depende de la nube</w:t>
            </w:r>
          </w:p>
        </w:tc>
      </w:tr>
      <w:tr w:rsidR="001D68AA" w:rsidRPr="001A7A7F" w14:paraId="769A667B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5CC872B" w14:textId="77777777" w:rsidR="001D68AA" w:rsidRPr="001A7A7F" w:rsidRDefault="001D68AA" w:rsidP="00AC0CD0">
            <w:r>
              <w:rPr>
                <w:sz w:val="18"/>
                <w:szCs w:val="18"/>
              </w:rPr>
              <w:t>Nube: GSLB y DNS failover hoy; escalado analítico en Fase III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26A6465" w14:textId="77777777" w:rsidR="001D68AA" w:rsidRPr="001A7A7F" w:rsidRDefault="001D68AA" w:rsidP="00AC0CD0">
            <w:r>
              <w:rPr>
                <w:sz w:val="18"/>
                <w:szCs w:val="18"/>
              </w:rPr>
              <w:t>Alta disponibilidad ya contratada y elasticidad futura por Acuerdo Marco V</w:t>
            </w:r>
          </w:p>
        </w:tc>
      </w:tr>
      <w:tr w:rsidR="001D68AA" w:rsidRPr="001A7A7F" w14:paraId="3C8DB98A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C5A7D30" w14:textId="77777777" w:rsidR="001D68AA" w:rsidRPr="001A7A7F" w:rsidRDefault="001D68AA" w:rsidP="00AC0CD0">
            <w:r>
              <w:rPr>
                <w:sz w:val="18"/>
                <w:szCs w:val="18"/>
              </w:rPr>
              <w:t>IPv6 doble pila y canal MPLS entre sedes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68161B1" w14:textId="77777777" w:rsidR="001D68AA" w:rsidRPr="001A7A7F" w:rsidRDefault="001D68AA" w:rsidP="00AC0CD0">
            <w:r>
              <w:rPr>
                <w:sz w:val="18"/>
                <w:szCs w:val="18"/>
              </w:rPr>
              <w:t>Interoperabilidad y conectividad conforme a directriz MinTIC</w:t>
            </w:r>
          </w:p>
        </w:tc>
      </w:tr>
    </w:tbl>
    <w:p w14:paraId="2413AEBD" w14:textId="77777777" w:rsidR="001D68AA" w:rsidRDefault="001D68AA" w:rsidP="001D68AA">
      <w:pPr>
        <w:pStyle w:val="Ttulo2"/>
        <w:rPr>
          <w:color w:val="auto"/>
        </w:rPr>
      </w:pPr>
    </w:p>
    <w:p w14:paraId="222346B4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lastRenderedPageBreak/>
        <w:t>6.5 Seguridad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160"/>
      </w:tblGrid>
      <w:tr w:rsidR="001D68AA" w:rsidRPr="001A7A7F" w14:paraId="0DB9ECE1" w14:textId="77777777" w:rsidTr="00FB1990">
        <w:trPr>
          <w:tblHeader/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E5C2A27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0C9EDEF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Justificación</w:t>
            </w:r>
          </w:p>
        </w:tc>
      </w:tr>
      <w:tr w:rsidR="001D68AA" w:rsidRPr="001A7A7F" w14:paraId="7D039754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0C11B60" w14:textId="77777777" w:rsidR="001D68AA" w:rsidRPr="001A7A7F" w:rsidRDefault="001D68AA" w:rsidP="00AC0CD0">
            <w:r>
              <w:rPr>
                <w:sz w:val="18"/>
                <w:szCs w:val="18"/>
              </w:rPr>
              <w:t>SOC, NOC y CSIRT sectorial 24/7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B440F15" w14:textId="77777777" w:rsidR="001D68AA" w:rsidRPr="001A7A7F" w:rsidRDefault="001D68AA" w:rsidP="00AC0CD0">
            <w:r>
              <w:rPr>
                <w:sz w:val="18"/>
                <w:szCs w:val="18"/>
              </w:rPr>
              <w:t>Detección, respuesta y coordinación con ColCERT; protege los tres planos</w:t>
            </w:r>
          </w:p>
        </w:tc>
      </w:tr>
      <w:tr w:rsidR="001D68AA" w:rsidRPr="001A7A7F" w14:paraId="3687A578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DD177B7" w14:textId="77777777" w:rsidR="001D68AA" w:rsidRPr="001A7A7F" w:rsidRDefault="001D68AA" w:rsidP="00AC0CD0">
            <w:r>
              <w:rPr>
                <w:sz w:val="18"/>
                <w:szCs w:val="18"/>
              </w:rPr>
              <w:t>Capacidades avanzadas (WAF, SOAR, decepción, CTEM, IAM-MFA)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7EA673F" w14:textId="77777777" w:rsidR="001D68AA" w:rsidRPr="001A7A7F" w:rsidRDefault="001D68AA" w:rsidP="00AC0CD0">
            <w:r>
              <w:rPr>
                <w:sz w:val="18"/>
                <w:szCs w:val="18"/>
              </w:rPr>
              <w:t>Reducción de superficie de ataque y respuesta automatizada</w:t>
            </w:r>
          </w:p>
        </w:tc>
      </w:tr>
      <w:tr w:rsidR="001D68AA" w:rsidRPr="001A7A7F" w14:paraId="216B1C3C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CE3AE4F" w14:textId="77777777" w:rsidR="001D68AA" w:rsidRPr="001A7A7F" w:rsidRDefault="001D68AA" w:rsidP="00AC0CD0">
            <w:pPr>
              <w:rPr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Zero Trust efectivo (IAM-MFA, ZTNA, mínimo privilegio)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5A2CBA4" w14:textId="77777777" w:rsidR="001D68AA" w:rsidRPr="001A7A7F" w:rsidRDefault="001D68AA" w:rsidP="00AC0CD0">
            <w:r>
              <w:rPr>
                <w:sz w:val="18"/>
                <w:szCs w:val="18"/>
              </w:rPr>
              <w:t>Deja de ser aspiracional: hay componentes contratados</w:t>
            </w:r>
          </w:p>
        </w:tc>
      </w:tr>
      <w:tr w:rsidR="001D68AA" w:rsidRPr="001A7A7F" w14:paraId="0FC605E5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526F27B" w14:textId="77777777" w:rsidR="001D68AA" w:rsidRPr="001A7A7F" w:rsidRDefault="001D68AA" w:rsidP="00AC0CD0">
            <w:r>
              <w:rPr>
                <w:sz w:val="18"/>
                <w:szCs w:val="18"/>
              </w:rPr>
              <w:t>Seguridad OT/ICS con Modelo Purdue e IEC 62443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2311380" w14:textId="77777777" w:rsidR="001D68AA" w:rsidRPr="001A7A7F" w:rsidRDefault="001D68AA" w:rsidP="00AC0CD0">
            <w:r>
              <w:rPr>
                <w:sz w:val="18"/>
                <w:szCs w:val="18"/>
              </w:rPr>
              <w:t>Separación de red IT y OT; atiende la brecha crítica del diagnóstico</w:t>
            </w:r>
          </w:p>
        </w:tc>
      </w:tr>
      <w:tr w:rsidR="001D68AA" w:rsidRPr="001A7A7F" w14:paraId="01762D56" w14:textId="77777777" w:rsidTr="00FB1990">
        <w:trPr>
          <w:jc w:val="center"/>
        </w:trPr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ADCE75A" w14:textId="77777777" w:rsidR="001D68AA" w:rsidRPr="001A7A7F" w:rsidRDefault="001D68AA" w:rsidP="00AC0CD0">
            <w:r>
              <w:rPr>
                <w:sz w:val="18"/>
                <w:szCs w:val="18"/>
              </w:rPr>
              <w:t>Hoja de ruta MSPI (12 iniciativas) y remediación 30-60-90</w:t>
            </w:r>
          </w:p>
        </w:tc>
        <w:tc>
          <w:tcPr>
            <w:tcW w:w="61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7A43446" w14:textId="77777777" w:rsidR="001D68AA" w:rsidRPr="001A7A7F" w:rsidRDefault="001D68AA" w:rsidP="00AC0CD0">
            <w:r>
              <w:rPr>
                <w:sz w:val="18"/>
                <w:szCs w:val="18"/>
              </w:rPr>
              <w:t>Cierra las brechas de madurez con plan y plazos</w:t>
            </w:r>
          </w:p>
        </w:tc>
      </w:tr>
    </w:tbl>
    <w:p w14:paraId="2DB5EFCB" w14:textId="77777777" w:rsidR="001D68AA" w:rsidRDefault="001D68AA" w:rsidP="001D68AA"/>
    <w:p w14:paraId="37BD1763" w14:textId="77777777" w:rsidR="001D68AA" w:rsidRPr="0088773D" w:rsidRDefault="001D68AA" w:rsidP="001D68AA">
      <w:pPr>
        <w:pStyle w:val="Ttulo1"/>
        <w:rPr>
          <w:color w:val="auto"/>
        </w:rPr>
      </w:pPr>
      <w:r>
        <w:rPr>
          <w:color w:val="auto"/>
        </w:rPr>
        <w:t>7. Diagrama lógico conceptual</w:t>
      </w:r>
    </w:p>
    <w:p w14:paraId="6C3711BB" w14:textId="77777777" w:rsidR="001D68AA" w:rsidRPr="001A7A7F" w:rsidRDefault="001D68AA" w:rsidP="001D68AA">
      <w:pPr>
        <w:jc w:val="center"/>
      </w:pPr>
      <w:r>
        <w:rPr>
          <w:noProof/>
        </w:rPr>
        <w:drawing>
          <wp:inline distT="0" distB="0" distL="0" distR="0" wp14:anchorId="4E117EEF" wp14:editId="103F6F3E">
            <wp:extent cx="6096000" cy="4095750"/>
            <wp:effectExtent l="0" t="0" r="0" b="0"/>
            <wp:docPr id="5" name="image1.png" descr="Arquitectura lógic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rquitectura lógica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09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B03683" w14:textId="77777777" w:rsidR="001D68AA" w:rsidRPr="001A7A7F" w:rsidRDefault="001D68AA" w:rsidP="001D68AA">
      <w:pPr>
        <w:spacing w:before="60" w:after="200"/>
        <w:jc w:val="center"/>
      </w:pPr>
      <w:r>
        <w:rPr>
          <w:i/>
          <w:iCs/>
          <w:sz w:val="18"/>
          <w:szCs w:val="18"/>
        </w:rPr>
        <w:t>Figura 1. Arquitectura lógica por capas de la plataforma de datos (Fase III).</w:t>
      </w:r>
    </w:p>
    <w:p w14:paraId="5E27F191" w14:textId="77777777" w:rsidR="001D68AA" w:rsidRPr="001A7A7F" w:rsidRDefault="001D68AA" w:rsidP="001D68AA">
      <w:r>
        <w:br w:type="page"/>
      </w:r>
    </w:p>
    <w:p w14:paraId="3D6B276F" w14:textId="77777777" w:rsidR="001D68AA" w:rsidRPr="001A7A7F" w:rsidRDefault="001D68AA" w:rsidP="001D68AA">
      <w:pPr>
        <w:pStyle w:val="Ttulo1"/>
        <w:rPr>
          <w:color w:val="auto"/>
        </w:rPr>
      </w:pPr>
      <w:r>
        <w:rPr>
          <w:color w:val="auto"/>
        </w:rPr>
        <w:lastRenderedPageBreak/>
        <w:t>8. Arquitectura de despliegue (tres planos)</w:t>
      </w:r>
    </w:p>
    <w:p w14:paraId="52D4AC68" w14:textId="77777777" w:rsidR="001D68AA" w:rsidRPr="001A7A7F" w:rsidRDefault="001D68AA" w:rsidP="001D68AA">
      <w:pPr>
        <w:spacing w:after="120"/>
      </w:pPr>
      <w:r>
        <w:t>Distribución real de la plataforma: centro de datos principal, sitio alterno de recuperación y nube, con el modelo operativo SOC/NOC/CSIRT como capa transversal.</w:t>
      </w:r>
    </w:p>
    <w:p w14:paraId="43E6FEE0" w14:textId="77777777" w:rsidR="001D68AA" w:rsidRPr="001A7A7F" w:rsidRDefault="001D68AA" w:rsidP="001D68AA">
      <w:pPr>
        <w:jc w:val="center"/>
      </w:pPr>
      <w:r>
        <w:rPr>
          <w:noProof/>
        </w:rPr>
        <w:drawing>
          <wp:inline distT="0" distB="0" distL="0" distR="0" wp14:anchorId="6C9B5DE2" wp14:editId="1F6DA86E">
            <wp:extent cx="6286500" cy="4448175"/>
            <wp:effectExtent l="0" t="0" r="0" b="0"/>
            <wp:docPr id="2" name="image2.png" descr="tres plano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tres planos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444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CCC333" w14:textId="77777777" w:rsidR="001D68AA" w:rsidRPr="001A7A7F" w:rsidRDefault="001D68AA" w:rsidP="001D68AA">
      <w:pPr>
        <w:spacing w:before="60" w:after="200"/>
        <w:jc w:val="center"/>
      </w:pPr>
      <w:r>
        <w:rPr>
          <w:i/>
          <w:iCs/>
          <w:sz w:val="18"/>
          <w:szCs w:val="18"/>
        </w:rPr>
        <w:t>Figura 2. Arquitectura de despliegue del CMS: principal, sitio alterno y nube.</w:t>
      </w:r>
    </w:p>
    <w:p w14:paraId="3D693D9D" w14:textId="77777777" w:rsidR="001D68AA" w:rsidRPr="001A7A7F" w:rsidRDefault="001D68AA" w:rsidP="001D68AA">
      <w:r>
        <w:br w:type="page"/>
      </w:r>
    </w:p>
    <w:p w14:paraId="096D91D2" w14:textId="77777777" w:rsidR="001D68AA" w:rsidRPr="001A7A7F" w:rsidRDefault="001D68AA" w:rsidP="001D68AA">
      <w:pPr>
        <w:pStyle w:val="Ttulo1"/>
        <w:rPr>
          <w:color w:val="auto"/>
        </w:rPr>
      </w:pPr>
      <w:r>
        <w:rPr>
          <w:color w:val="auto"/>
        </w:rPr>
        <w:lastRenderedPageBreak/>
        <w:t>9. Componentes: existentes, en ejecución y propuestos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2300"/>
        <w:gridCol w:w="2860"/>
      </w:tblGrid>
      <w:tr w:rsidR="001D68AA" w:rsidRPr="001A7A7F" w14:paraId="4FD42BB0" w14:textId="77777777" w:rsidTr="00FB1990">
        <w:trPr>
          <w:tblHeader/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B7FDA57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2E8062A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Dominio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A412279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Estado</w:t>
            </w:r>
          </w:p>
        </w:tc>
      </w:tr>
      <w:tr w:rsidR="001D68AA" w:rsidRPr="001A7A7F" w14:paraId="621ECF1E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99CE478" w14:textId="77777777" w:rsidR="001D68AA" w:rsidRPr="001A7A7F" w:rsidRDefault="001D68AA" w:rsidP="00AC0CD0">
            <w:r>
              <w:rPr>
                <w:sz w:val="18"/>
                <w:szCs w:val="18"/>
              </w:rPr>
              <w:t xml:space="preserve">Microdatacenter, HCI, red segmentada, </w:t>
            </w:r>
            <w:proofErr w:type="spellStart"/>
            <w:r>
              <w:rPr>
                <w:sz w:val="18"/>
                <w:szCs w:val="18"/>
              </w:rPr>
              <w:t>backup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videowall</w:t>
            </w:r>
            <w:proofErr w:type="spellEnd"/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2F587CB" w14:textId="77777777" w:rsidR="001D68AA" w:rsidRPr="001A7A7F" w:rsidRDefault="001D68AA" w:rsidP="00AC0CD0">
            <w:r>
              <w:rPr>
                <w:sz w:val="18"/>
                <w:szCs w:val="18"/>
              </w:rPr>
              <w:t>Tecnología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C6EFCE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0673311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Existente</w:t>
            </w:r>
          </w:p>
        </w:tc>
      </w:tr>
      <w:tr w:rsidR="001D68AA" w:rsidRPr="001A7A7F" w14:paraId="5AC0BEBC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2FC97BA" w14:textId="77777777" w:rsidR="001D68AA" w:rsidRPr="001A7A7F" w:rsidRDefault="001D68AA" w:rsidP="00AC0CD0">
            <w:r>
              <w:rPr>
                <w:sz w:val="18"/>
                <w:szCs w:val="18"/>
              </w:rPr>
              <w:t>Mesa de servicio institucional (Aranda, ITIL, ANS)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F558EA4" w14:textId="77777777" w:rsidR="001D68AA" w:rsidRPr="001A7A7F" w:rsidRDefault="001D68AA" w:rsidP="00AC0CD0">
            <w:r>
              <w:rPr>
                <w:sz w:val="18"/>
                <w:szCs w:val="18"/>
              </w:rPr>
              <w:t>Negocio/Sistemas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C6EFCE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04DFBC6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Existente</w:t>
            </w:r>
          </w:p>
        </w:tc>
      </w:tr>
      <w:tr w:rsidR="001D68AA" w:rsidRPr="001A7A7F" w14:paraId="25130A9C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F620A0A" w14:textId="77777777" w:rsidR="001D68AA" w:rsidRPr="001A7A7F" w:rsidRDefault="001D68AA" w:rsidP="00AC0CD0">
            <w:r>
              <w:rPr>
                <w:sz w:val="18"/>
                <w:szCs w:val="18"/>
              </w:rPr>
              <w:t>SOC, NOC y CSIRT sectorial 24/7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F27F002" w14:textId="77777777" w:rsidR="001D68AA" w:rsidRPr="001A7A7F" w:rsidRDefault="001D68AA" w:rsidP="00AC0CD0">
            <w:r>
              <w:rPr>
                <w:sz w:val="18"/>
                <w:szCs w:val="18"/>
              </w:rPr>
              <w:t>Seguridad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A2F566B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75830F81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68ABDF0" w14:textId="77777777" w:rsidR="001D68AA" w:rsidRPr="001A7A7F" w:rsidRDefault="001D68AA" w:rsidP="00AC0CD0">
            <w:r>
              <w:rPr>
                <w:sz w:val="18"/>
                <w:szCs w:val="18"/>
              </w:rPr>
              <w:t>Sitio alterno DRP, planes DRP y BIA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3A59406" w14:textId="77777777" w:rsidR="001D68AA" w:rsidRPr="001A7A7F" w:rsidRDefault="001D68AA" w:rsidP="00AC0CD0">
            <w:r>
              <w:rPr>
                <w:sz w:val="18"/>
                <w:szCs w:val="18"/>
              </w:rPr>
              <w:t>Tecnología/Seguridad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22CA357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3F85F00C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FF6ABF8" w14:textId="77777777" w:rsidR="001D68AA" w:rsidRPr="001A7A7F" w:rsidRDefault="001D68AA" w:rsidP="00AC0CD0">
            <w:pPr>
              <w:rPr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Capacidades avanzadas (WAF, SOAR, CTEM, IAM-MFA, MFT)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5301658" w14:textId="77777777" w:rsidR="001D68AA" w:rsidRPr="001A7A7F" w:rsidRDefault="001D68AA" w:rsidP="00AC0CD0">
            <w:r>
              <w:rPr>
                <w:sz w:val="18"/>
                <w:szCs w:val="18"/>
              </w:rPr>
              <w:t>Seguridad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0D61239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1BB73661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056BFF3" w14:textId="77777777" w:rsidR="001D68AA" w:rsidRPr="001A7A7F" w:rsidRDefault="001D68AA" w:rsidP="00AC0CD0">
            <w:r>
              <w:rPr>
                <w:sz w:val="18"/>
                <w:szCs w:val="18"/>
              </w:rPr>
              <w:t>Plataforma de integración e interoperabilidad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B0E7A9B" w14:textId="77777777" w:rsidR="001D68AA" w:rsidRPr="001A7A7F" w:rsidRDefault="001D68AA" w:rsidP="00AC0CD0">
            <w:r>
              <w:rPr>
                <w:sz w:val="18"/>
                <w:szCs w:val="18"/>
              </w:rPr>
              <w:t>Sistemas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DECC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5828864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En ejecución</w:t>
            </w:r>
          </w:p>
        </w:tc>
      </w:tr>
      <w:tr w:rsidR="001D68AA" w:rsidRPr="001A7A7F" w14:paraId="2C79DE6E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EADD6BE" w14:textId="77777777" w:rsidR="001D68AA" w:rsidRPr="001A7A7F" w:rsidRDefault="001D68AA" w:rsidP="00AC0CD0">
            <w:r>
              <w:rPr>
                <w:sz w:val="18"/>
                <w:szCs w:val="18"/>
              </w:rPr>
              <w:t>Gobierno de datos, catálogo, ontología y calidad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E141702" w14:textId="77777777" w:rsidR="001D68AA" w:rsidRPr="001A7A7F" w:rsidRDefault="001D68AA" w:rsidP="00AC0CD0">
            <w:r>
              <w:rPr>
                <w:sz w:val="18"/>
                <w:szCs w:val="18"/>
              </w:rPr>
              <w:t>Negocio/Información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5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3C37559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Fase III</w:t>
            </w:r>
          </w:p>
        </w:tc>
      </w:tr>
      <w:tr w:rsidR="001D68AA" w:rsidRPr="001A7A7F" w14:paraId="683F1AB2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A56E89E" w14:textId="77777777" w:rsidR="001D68AA" w:rsidRPr="001A7A7F" w:rsidRDefault="001D68AA" w:rsidP="00AC0CD0">
            <w:pPr>
              <w:rPr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Lakehouse (Bronze/Silver/Gold) e ingesta sectorial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326DA40" w14:textId="77777777" w:rsidR="001D68AA" w:rsidRPr="001A7A7F" w:rsidRDefault="001D68AA" w:rsidP="00AC0CD0">
            <w:r>
              <w:rPr>
                <w:sz w:val="18"/>
                <w:szCs w:val="18"/>
              </w:rPr>
              <w:t>Información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5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48FB5D3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Fase III</w:t>
            </w:r>
          </w:p>
        </w:tc>
      </w:tr>
      <w:tr w:rsidR="001D68AA" w:rsidRPr="001A7A7F" w14:paraId="469A2BE8" w14:textId="77777777" w:rsidTr="00FB1990">
        <w:trPr>
          <w:jc w:val="center"/>
        </w:trPr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7EFFD99" w14:textId="77777777" w:rsidR="001D68AA" w:rsidRPr="001A7A7F" w:rsidRDefault="001D68AA" w:rsidP="00AC0CD0">
            <w:r>
              <w:rPr>
                <w:sz w:val="18"/>
                <w:szCs w:val="18"/>
              </w:rPr>
              <w:t>Analítica avanzada, ML/MLOps, tableros y datos abiertos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CE0B5BE" w14:textId="77777777" w:rsidR="001D68AA" w:rsidRPr="001A7A7F" w:rsidRDefault="001D68AA" w:rsidP="00AC0CD0">
            <w:r>
              <w:rPr>
                <w:sz w:val="18"/>
                <w:szCs w:val="18"/>
              </w:rPr>
              <w:t>Sistemas/Información</w:t>
            </w:r>
          </w:p>
        </w:tc>
        <w:tc>
          <w:tcPr>
            <w:tcW w:w="28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5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3A907B9" w14:textId="77777777" w:rsidR="001D68AA" w:rsidRPr="001A7A7F" w:rsidRDefault="001D68AA" w:rsidP="00AC0CD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Fase III</w:t>
            </w:r>
          </w:p>
        </w:tc>
      </w:tr>
    </w:tbl>
    <w:p w14:paraId="23934C1C" w14:textId="77777777" w:rsidR="001D68AA" w:rsidRPr="001A7A7F" w:rsidRDefault="001D68AA" w:rsidP="001D68AA">
      <w:pPr>
        <w:spacing w:after="120"/>
      </w:pPr>
      <w:r>
        <w:rPr>
          <w:b/>
          <w:bCs/>
          <w:sz w:val="20"/>
          <w:szCs w:val="20"/>
        </w:rPr>
        <w:t xml:space="preserve">Lectura: </w:t>
      </w:r>
      <w:r>
        <w:rPr>
          <w:sz w:val="20"/>
          <w:szCs w:val="20"/>
        </w:rPr>
        <w:t>de nueve bloques, seis ya existen o están en ejecución con financiación asignada. Los tres restantes constituyen la Fase III.</w:t>
      </w:r>
    </w:p>
    <w:p w14:paraId="64DB8611" w14:textId="77777777" w:rsidR="001D68AA" w:rsidRPr="0088773D" w:rsidRDefault="001D68AA" w:rsidP="001D68AA">
      <w:pPr>
        <w:rPr>
          <w:b/>
          <w:bCs/>
          <w:sz w:val="28"/>
          <w:szCs w:val="28"/>
        </w:rPr>
      </w:pPr>
    </w:p>
    <w:p w14:paraId="54B32758" w14:textId="77777777" w:rsidR="001D68AA" w:rsidRPr="0088773D" w:rsidRDefault="001D68AA" w:rsidP="001D68AA">
      <w:pPr>
        <w:pStyle w:val="Ttulo1"/>
        <w:rPr>
          <w:color w:val="auto"/>
        </w:rPr>
      </w:pPr>
      <w:r>
        <w:rPr>
          <w:color w:val="auto"/>
        </w:rPr>
        <w:t>10. Hoja de ruta de la Fase III</w:t>
      </w:r>
    </w:p>
    <w:p w14:paraId="77F94DC1" w14:textId="77777777" w:rsidR="001D68AA" w:rsidRDefault="001D68AA" w:rsidP="001D68AA">
      <w:pPr>
        <w:spacing w:after="120"/>
      </w:pPr>
    </w:p>
    <w:p w14:paraId="3228EFCF" w14:textId="77777777" w:rsidR="001D68AA" w:rsidRPr="001A7A7F" w:rsidRDefault="001D68AA" w:rsidP="001D68AA">
      <w:pPr>
        <w:spacing w:after="120"/>
      </w:pPr>
      <w:r>
        <w:t>La Fase III se ejecuta por olas sobre la plataforma existente, con puertas de calidad verificables y gestión del cambio bajo ITIL v4.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4360"/>
        <w:gridCol w:w="3300"/>
      </w:tblGrid>
      <w:tr w:rsidR="001D68AA" w:rsidRPr="001A7A7F" w14:paraId="15DD34B1" w14:textId="77777777" w:rsidTr="00FB1990">
        <w:trPr>
          <w:tblHeader/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7849411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Ola</w:t>
            </w:r>
          </w:p>
        </w:tc>
        <w:tc>
          <w:tcPr>
            <w:tcW w:w="4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4312F08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Alcance</w:t>
            </w:r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DE64476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Prerrequisito</w:t>
            </w:r>
          </w:p>
        </w:tc>
      </w:tr>
      <w:tr w:rsidR="001D68AA" w:rsidRPr="001A7A7F" w14:paraId="2145ACFD" w14:textId="77777777" w:rsidTr="00FB1990">
        <w:trPr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23B2B43" w14:textId="77777777" w:rsidR="001D68AA" w:rsidRPr="001A7A7F" w:rsidRDefault="001D68AA" w:rsidP="00AC0CD0">
            <w:r>
              <w:rPr>
                <w:sz w:val="18"/>
                <w:szCs w:val="18"/>
              </w:rPr>
              <w:t>Ola 1 · Gobierno del dato</w:t>
            </w:r>
          </w:p>
        </w:tc>
        <w:tc>
          <w:tcPr>
            <w:tcW w:w="4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2F795B0" w14:textId="77777777" w:rsidR="001D68AA" w:rsidRPr="001A7A7F" w:rsidRDefault="001D68AA" w:rsidP="00AC0CD0">
            <w:r>
              <w:rPr>
                <w:sz w:val="18"/>
                <w:szCs w:val="18"/>
              </w:rPr>
              <w:t>Comité de datos, Data Stewards, catálogo y modelo semántico</w:t>
            </w:r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F364D71" w14:textId="77777777" w:rsidR="001D68AA" w:rsidRPr="001A7A7F" w:rsidRDefault="001D68AA" w:rsidP="00AC0CD0">
            <w:r>
              <w:rPr>
                <w:sz w:val="18"/>
                <w:szCs w:val="18"/>
              </w:rPr>
              <w:t>Levantamiento As-Is de fuentes e integraciones</w:t>
            </w:r>
          </w:p>
        </w:tc>
      </w:tr>
      <w:tr w:rsidR="001D68AA" w:rsidRPr="001A7A7F" w14:paraId="307F9DE4" w14:textId="77777777" w:rsidTr="00FB1990">
        <w:trPr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90A1D96" w14:textId="77777777" w:rsidR="001D68AA" w:rsidRPr="001A7A7F" w:rsidRDefault="001D68AA" w:rsidP="00AC0CD0">
            <w:r>
              <w:rPr>
                <w:sz w:val="18"/>
                <w:szCs w:val="18"/>
              </w:rPr>
              <w:t>Ola 2 · Energía eléctrica</w:t>
            </w:r>
          </w:p>
        </w:tc>
        <w:tc>
          <w:tcPr>
            <w:tcW w:w="4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41DB564" w14:textId="77777777" w:rsidR="001D68AA" w:rsidRPr="001A7A7F" w:rsidRDefault="001D68AA" w:rsidP="00AC0CD0">
            <w:r>
              <w:rPr>
                <w:sz w:val="18"/>
                <w:szCs w:val="18"/>
              </w:rPr>
              <w:t>Ingesta (XM, CREG, UPME), Lakehouse Bronze/Silver, tableros MVP</w:t>
            </w:r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2C4BC7B" w14:textId="77777777" w:rsidR="001D68AA" w:rsidRPr="001A7A7F" w:rsidRDefault="001D68AA" w:rsidP="00AC0CD0">
            <w:r>
              <w:rPr>
                <w:sz w:val="18"/>
                <w:szCs w:val="18"/>
              </w:rPr>
              <w:t>AII suscritos y plataforma de integración operativa</w:t>
            </w:r>
          </w:p>
        </w:tc>
      </w:tr>
      <w:tr w:rsidR="001D68AA" w:rsidRPr="001A7A7F" w14:paraId="2D87A339" w14:textId="77777777" w:rsidTr="00FB1990">
        <w:trPr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AD8FA30" w14:textId="77777777" w:rsidR="001D68AA" w:rsidRPr="001A7A7F" w:rsidRDefault="001D68AA" w:rsidP="00AC0CD0">
            <w:r>
              <w:rPr>
                <w:sz w:val="18"/>
                <w:szCs w:val="18"/>
              </w:rPr>
              <w:t>Ola 3 · Minería e hidrocarburos</w:t>
            </w:r>
          </w:p>
        </w:tc>
        <w:tc>
          <w:tcPr>
            <w:tcW w:w="4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102CC6A" w14:textId="77777777" w:rsidR="001D68AA" w:rsidRPr="001A7A7F" w:rsidRDefault="001D68AA" w:rsidP="00AC0CD0">
            <w:r>
              <w:rPr>
                <w:sz w:val="18"/>
                <w:szCs w:val="18"/>
              </w:rPr>
              <w:t>ANM, SGC, ANH, IPSE; geoservicios IDE-ME; ingesta OT/SCADA</w:t>
            </w:r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368FB90" w14:textId="77777777" w:rsidR="001D68AA" w:rsidRPr="001A7A7F" w:rsidRDefault="001D68AA" w:rsidP="00AC0CD0">
            <w:r>
              <w:rPr>
                <w:sz w:val="18"/>
                <w:szCs w:val="18"/>
              </w:rPr>
              <w:t>Segmentación OT/IT avanzada (Modelo Purdue)</w:t>
            </w:r>
          </w:p>
        </w:tc>
      </w:tr>
      <w:tr w:rsidR="001D68AA" w:rsidRPr="001A7A7F" w14:paraId="558A716D" w14:textId="77777777" w:rsidTr="00FB1990">
        <w:trPr>
          <w:jc w:val="center"/>
        </w:trPr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78D885D" w14:textId="77777777" w:rsidR="001D68AA" w:rsidRPr="001A7A7F" w:rsidRDefault="001D68AA" w:rsidP="00AC0CD0">
            <w:r>
              <w:rPr>
                <w:sz w:val="18"/>
                <w:szCs w:val="18"/>
              </w:rPr>
              <w:t>Ola 4 · Analítica y publicación</w:t>
            </w:r>
          </w:p>
        </w:tc>
        <w:tc>
          <w:tcPr>
            <w:tcW w:w="4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BB53CA4" w14:textId="77777777" w:rsidR="001D68AA" w:rsidRPr="001A7A7F" w:rsidRDefault="001D68AA" w:rsidP="00AC0CD0">
            <w:r>
              <w:rPr>
                <w:sz w:val="18"/>
                <w:szCs w:val="18"/>
              </w:rPr>
              <w:t>ML/MLOps, capa Gold en nube, datos abiertos</w:t>
            </w:r>
          </w:p>
        </w:tc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2E425CA" w14:textId="77777777" w:rsidR="001D68AA" w:rsidRPr="001A7A7F" w:rsidRDefault="001D68AA" w:rsidP="00AC0CD0">
            <w:r>
              <w:rPr>
                <w:sz w:val="18"/>
                <w:szCs w:val="18"/>
              </w:rPr>
              <w:t>Habilitación de nube por Acuerdo Marco V</w:t>
            </w:r>
          </w:p>
        </w:tc>
      </w:tr>
    </w:tbl>
    <w:p w14:paraId="3B2E4188" w14:textId="77777777" w:rsidR="001D68AA" w:rsidRPr="001A7A7F" w:rsidRDefault="001D68AA" w:rsidP="001D68AA">
      <w:r>
        <w:br w:type="page"/>
      </w:r>
    </w:p>
    <w:p w14:paraId="7894DD90" w14:textId="77777777" w:rsidR="001D68AA" w:rsidRPr="001A7A7F" w:rsidRDefault="001D68AA" w:rsidP="001D68AA">
      <w:pPr>
        <w:pStyle w:val="Ttulo1"/>
        <w:rPr>
          <w:color w:val="auto"/>
        </w:rPr>
      </w:pPr>
      <w:r>
        <w:rPr>
          <w:color w:val="auto"/>
        </w:rPr>
        <w:lastRenderedPageBreak/>
        <w:t>11. Caso de negocio e indicadores</w:t>
      </w:r>
    </w:p>
    <w:p w14:paraId="0204D161" w14:textId="77777777" w:rsidR="001D68AA" w:rsidRPr="001A7A7F" w:rsidRDefault="001D68AA" w:rsidP="001D68AA">
      <w:pPr>
        <w:spacing w:after="120"/>
        <w:jc w:val="both"/>
      </w:pPr>
      <w:r>
        <w:t>La Fase II de 2026 se estructura por $14.416.000.000 con cargo al BPIN 202400000000198, orientada al sitio alterno, las capacidades avanzadas, la operación y la renovación de licenciamiento. La Fase III se apoya en esa base, por lo que su costo incremental se concentra en la capa de datos y en el escalado analítico.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2300"/>
        <w:gridCol w:w="2000"/>
        <w:gridCol w:w="1760"/>
      </w:tblGrid>
      <w:tr w:rsidR="001D68AA" w:rsidRPr="001A7A7F" w14:paraId="569D752A" w14:textId="77777777" w:rsidTr="00FB1990">
        <w:trPr>
          <w:tblHeader/>
          <w:jc w:val="center"/>
        </w:trPr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DE137A7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Indicador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420CB1A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Línea base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91C6F39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Meta Fase III</w:t>
            </w:r>
          </w:p>
        </w:tc>
        <w:tc>
          <w:tcPr>
            <w:tcW w:w="1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2E3C22F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Dominio</w:t>
            </w:r>
          </w:p>
        </w:tc>
      </w:tr>
      <w:tr w:rsidR="001D68AA" w:rsidRPr="001A7A7F" w14:paraId="66FD1EC8" w14:textId="77777777" w:rsidTr="00FB1990">
        <w:trPr>
          <w:jc w:val="center"/>
        </w:trPr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1A4C244" w14:textId="77777777" w:rsidR="001D68AA" w:rsidRPr="001A7A7F" w:rsidRDefault="001D68AA" w:rsidP="00AC0CD0">
            <w:r>
              <w:rPr>
                <w:sz w:val="18"/>
                <w:szCs w:val="18"/>
              </w:rPr>
              <w:t>Latencia del dato (fuente a tablero)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8BDAE20" w14:textId="77777777" w:rsidR="001D68AA" w:rsidRPr="001A7A7F" w:rsidRDefault="001D68AA" w:rsidP="00AC0CD0">
            <w:r>
              <w:rPr>
                <w:sz w:val="18"/>
                <w:szCs w:val="18"/>
              </w:rPr>
              <w:t>Días (manual)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FCDF28A" w14:textId="77777777" w:rsidR="001D68AA" w:rsidRPr="001A7A7F" w:rsidRDefault="001D68AA" w:rsidP="00AC0CD0"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≤ 1 hora</w:t>
            </w:r>
          </w:p>
        </w:tc>
        <w:tc>
          <w:tcPr>
            <w:tcW w:w="1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ADE8E13" w14:textId="77777777" w:rsidR="001D68AA" w:rsidRPr="001A7A7F" w:rsidRDefault="001D68AA" w:rsidP="00AC0CD0">
            <w:r>
              <w:rPr>
                <w:sz w:val="18"/>
                <w:szCs w:val="18"/>
              </w:rPr>
              <w:t>Información</w:t>
            </w:r>
          </w:p>
        </w:tc>
      </w:tr>
      <w:tr w:rsidR="001D68AA" w:rsidRPr="001A7A7F" w14:paraId="06B5794D" w14:textId="77777777" w:rsidTr="00FB1990">
        <w:trPr>
          <w:jc w:val="center"/>
        </w:trPr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792BB1F" w14:textId="77777777" w:rsidR="001D68AA" w:rsidRPr="001A7A7F" w:rsidRDefault="001D68AA" w:rsidP="00AC0CD0">
            <w:r>
              <w:rPr>
                <w:sz w:val="18"/>
                <w:szCs w:val="18"/>
              </w:rPr>
              <w:t>Fuentes automatizadas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3214D48" w14:textId="77777777" w:rsidR="001D68AA" w:rsidRPr="001A7A7F" w:rsidRDefault="001D68AA" w:rsidP="00AC0CD0">
            <w:r>
              <w:rPr>
                <w:sz w:val="18"/>
                <w:szCs w:val="18"/>
              </w:rPr>
              <w:t>Sin inventario consolidado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F9EA5C3" w14:textId="77777777" w:rsidR="001D68AA" w:rsidRPr="001A7A7F" w:rsidRDefault="001D68AA" w:rsidP="00AC0CD0"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≥ 90%</w:t>
            </w:r>
          </w:p>
        </w:tc>
        <w:tc>
          <w:tcPr>
            <w:tcW w:w="1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44A052D" w14:textId="77777777" w:rsidR="001D68AA" w:rsidRPr="001A7A7F" w:rsidRDefault="001D68AA" w:rsidP="00AC0CD0">
            <w:r>
              <w:rPr>
                <w:sz w:val="18"/>
                <w:szCs w:val="18"/>
              </w:rPr>
              <w:t>Sistemas</w:t>
            </w:r>
          </w:p>
        </w:tc>
      </w:tr>
      <w:tr w:rsidR="001D68AA" w:rsidRPr="001A7A7F" w14:paraId="490FC754" w14:textId="77777777" w:rsidTr="00FB1990">
        <w:trPr>
          <w:jc w:val="center"/>
        </w:trPr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AFB2C4D" w14:textId="77777777" w:rsidR="001D68AA" w:rsidRPr="001A7A7F" w:rsidRDefault="001D68AA" w:rsidP="00AC0CD0">
            <w:r>
              <w:rPr>
                <w:sz w:val="18"/>
                <w:szCs w:val="18"/>
              </w:rPr>
              <w:t>Reportes de agentes en JSON conformes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0DF820F" w14:textId="77777777" w:rsidR="001D68AA" w:rsidRPr="001A7A7F" w:rsidRDefault="001D68AA" w:rsidP="00AC0CD0">
            <w:r>
              <w:rPr>
                <w:sz w:val="18"/>
                <w:szCs w:val="18"/>
              </w:rPr>
              <w:t>Inicial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98D2521" w14:textId="77777777" w:rsidR="001D68AA" w:rsidRPr="001A7A7F" w:rsidRDefault="001D68AA" w:rsidP="00AC0CD0">
            <w:r>
              <w:rPr>
                <w:sz w:val="18"/>
                <w:szCs w:val="18"/>
              </w:rPr>
              <w:t>100% (Res. 40559)</w:t>
            </w:r>
          </w:p>
        </w:tc>
        <w:tc>
          <w:tcPr>
            <w:tcW w:w="1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6D65F38" w14:textId="77777777" w:rsidR="001D68AA" w:rsidRPr="001A7A7F" w:rsidRDefault="001D68AA" w:rsidP="00AC0CD0">
            <w:r>
              <w:rPr>
                <w:sz w:val="18"/>
                <w:szCs w:val="18"/>
              </w:rPr>
              <w:t>Información</w:t>
            </w:r>
          </w:p>
        </w:tc>
      </w:tr>
      <w:tr w:rsidR="001D68AA" w:rsidRPr="001A7A7F" w14:paraId="6ECA29BC" w14:textId="77777777" w:rsidTr="00FB1990">
        <w:trPr>
          <w:jc w:val="center"/>
        </w:trPr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D5EAF23" w14:textId="77777777" w:rsidR="001D68AA" w:rsidRPr="001A7A7F" w:rsidRDefault="001D68AA" w:rsidP="00AC0CD0">
            <w:r>
              <w:rPr>
                <w:sz w:val="18"/>
                <w:szCs w:val="18"/>
              </w:rPr>
              <w:t>Madurez MSPI en dominios críticos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471D8D0" w14:textId="77777777" w:rsidR="001D68AA" w:rsidRPr="001A7A7F" w:rsidRDefault="001D68AA" w:rsidP="00AC0CD0">
            <w:r>
              <w:rPr>
                <w:sz w:val="18"/>
                <w:szCs w:val="18"/>
              </w:rPr>
              <w:t>Inicial/Básico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E976A39" w14:textId="77777777" w:rsidR="001D68AA" w:rsidRPr="001A7A7F" w:rsidRDefault="001D68AA" w:rsidP="00AC0CD0">
            <w:r>
              <w:rPr>
                <w:sz w:val="18"/>
                <w:szCs w:val="18"/>
              </w:rPr>
              <w:t>Definido/Avanzado</w:t>
            </w:r>
          </w:p>
        </w:tc>
        <w:tc>
          <w:tcPr>
            <w:tcW w:w="1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1D2CB32" w14:textId="77777777" w:rsidR="001D68AA" w:rsidRPr="001A7A7F" w:rsidRDefault="001D68AA" w:rsidP="00AC0CD0">
            <w:r>
              <w:rPr>
                <w:sz w:val="18"/>
                <w:szCs w:val="18"/>
              </w:rPr>
              <w:t>Seguridad</w:t>
            </w:r>
          </w:p>
        </w:tc>
      </w:tr>
      <w:tr w:rsidR="001D68AA" w:rsidRPr="001A7A7F" w14:paraId="6EE3538A" w14:textId="77777777" w:rsidTr="00FB1990">
        <w:trPr>
          <w:jc w:val="center"/>
        </w:trPr>
        <w:tc>
          <w:tcPr>
            <w:tcW w:w="3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CAFF2B4" w14:textId="77777777" w:rsidR="001D68AA" w:rsidRPr="001A7A7F" w:rsidRDefault="001D68AA" w:rsidP="00AC0CD0">
            <w:r>
              <w:rPr>
                <w:sz w:val="18"/>
                <w:szCs w:val="18"/>
              </w:rPr>
              <w:t>Segmentación OT/IT (Purdue)</w:t>
            </w:r>
          </w:p>
        </w:tc>
        <w:tc>
          <w:tcPr>
            <w:tcW w:w="23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4FEC253" w14:textId="77777777" w:rsidR="001D68AA" w:rsidRPr="001A7A7F" w:rsidRDefault="001D68AA" w:rsidP="00AC0CD0">
            <w:r>
              <w:rPr>
                <w:sz w:val="18"/>
                <w:szCs w:val="18"/>
              </w:rPr>
              <w:t>Crítico (0)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C71C950" w14:textId="77777777" w:rsidR="001D68AA" w:rsidRPr="001A7A7F" w:rsidRDefault="001D68AA" w:rsidP="00AC0CD0">
            <w:r>
              <w:rPr>
                <w:sz w:val="18"/>
                <w:szCs w:val="18"/>
              </w:rPr>
              <w:t>Básico (2) o superior</w:t>
            </w:r>
          </w:p>
        </w:tc>
        <w:tc>
          <w:tcPr>
            <w:tcW w:w="1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444CFC3" w14:textId="77777777" w:rsidR="001D68AA" w:rsidRPr="001A7A7F" w:rsidRDefault="001D68AA" w:rsidP="00AC0CD0">
            <w:r>
              <w:rPr>
                <w:sz w:val="18"/>
                <w:szCs w:val="18"/>
              </w:rPr>
              <w:t>Seguridad</w:t>
            </w:r>
          </w:p>
        </w:tc>
      </w:tr>
    </w:tbl>
    <w:p w14:paraId="2208BDF6" w14:textId="77777777" w:rsidR="001D68AA" w:rsidRDefault="001D68AA" w:rsidP="001D68AA"/>
    <w:p w14:paraId="446C3E57" w14:textId="77777777" w:rsidR="001D68AA" w:rsidRPr="0088773D" w:rsidRDefault="001D68AA" w:rsidP="001D68AA">
      <w:pPr>
        <w:pStyle w:val="Ttulo1"/>
        <w:rPr>
          <w:color w:val="auto"/>
        </w:rPr>
      </w:pPr>
      <w:r>
        <w:rPr>
          <w:color w:val="auto"/>
        </w:rPr>
        <w:t>12. Supuestos, pendientes y riesgos</w:t>
      </w:r>
    </w:p>
    <w:p w14:paraId="07A05D63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t>12.1 Puntos por precisar</w:t>
      </w:r>
    </w:p>
    <w:p w14:paraId="2E2B40E9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Virtualización: los documentos de Fase I refieren HCI Nutanix con Prism Central y el informe 2026 refiere renovación de licenciamiento VMware; debe precisarse la coexistencia o el alcance de cada entorno.</w:t>
      </w:r>
    </w:p>
    <w:p w14:paraId="4C65E8FC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Denominación oficial de la dependencia: los informes usan GTIC, GTI, OTIC y Grupo TIC; debe unificarse en la versión final.</w:t>
      </w:r>
    </w:p>
    <w:p w14:paraId="7CA7EA2E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Sizing de la HCI (nodos, CPU, RAM, almacenamiento) para dimensionar la porción on-premise de la capa de datos.</w:t>
      </w:r>
    </w:p>
    <w:p w14:paraId="50CFD05C" w14:textId="77777777" w:rsidR="001D68AA" w:rsidRPr="001A7A7F" w:rsidRDefault="001D68AA" w:rsidP="001D68AA">
      <w:pPr>
        <w:pStyle w:val="Ttulo2"/>
        <w:rPr>
          <w:color w:val="auto"/>
        </w:rPr>
      </w:pPr>
      <w:r>
        <w:rPr>
          <w:color w:val="auto"/>
        </w:rPr>
        <w:t>12.2 Riesgos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1D68AA" w:rsidRPr="001A7A7F" w14:paraId="1D5414EC" w14:textId="77777777" w:rsidTr="00FB1990">
        <w:trPr>
          <w:tblHeader/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F7937C2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Riesgo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0000" w:themeFill="text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85CDB40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Mitigación</w:t>
            </w:r>
          </w:p>
        </w:tc>
      </w:tr>
      <w:tr w:rsidR="001D68AA" w:rsidRPr="001A7A7F" w14:paraId="32FDB64F" w14:textId="77777777" w:rsidTr="00FB1990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DB36026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El As-Is de datos no se completa a tiempo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57C7769" w14:textId="77777777" w:rsidR="001D68AA" w:rsidRPr="001A7A7F" w:rsidRDefault="001D68AA" w:rsidP="00AC0CD0">
            <w:r>
              <w:rPr>
                <w:sz w:val="18"/>
                <w:szCs w:val="18"/>
              </w:rPr>
              <w:t>Enviar el instrumento de inmediato con fecha de corte previa a la socialización</w:t>
            </w:r>
          </w:p>
        </w:tc>
      </w:tr>
      <w:tr w:rsidR="001D68AA" w:rsidRPr="001A7A7F" w14:paraId="19FBA857" w14:textId="77777777" w:rsidTr="00FB1990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A47D342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La Fase III se percibe como proyecto paralelo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0806DA8" w14:textId="77777777" w:rsidR="001D68AA" w:rsidRPr="001A7A7F" w:rsidRDefault="001D68AA" w:rsidP="00AC0CD0">
            <w:r>
              <w:rPr>
                <w:sz w:val="18"/>
                <w:szCs w:val="18"/>
              </w:rPr>
              <w:t>Presentarla como continuidad del CMS y de su BPIN</w:t>
            </w:r>
          </w:p>
        </w:tc>
      </w:tr>
      <w:tr w:rsidR="001D68AA" w:rsidRPr="001A7A7F" w14:paraId="1A79F9DF" w14:textId="77777777" w:rsidTr="00FB1990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675D111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Brecha OT/ICS afecta la ingesta SCADA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0E2739C" w14:textId="77777777" w:rsidR="001D68AA" w:rsidRPr="001A7A7F" w:rsidRDefault="001D68AA" w:rsidP="00AC0CD0">
            <w:r>
              <w:rPr>
                <w:sz w:val="18"/>
                <w:szCs w:val="18"/>
              </w:rPr>
              <w:t>Condicionar la Ola 3 al avance de la segmentación Purdue</w:t>
            </w:r>
          </w:p>
        </w:tc>
      </w:tr>
      <w:tr w:rsidR="001D68AA" w:rsidRPr="001A7A7F" w14:paraId="3E4EA67A" w14:textId="77777777" w:rsidTr="00FB1990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4739D74" w14:textId="77777777" w:rsidR="001D68AA" w:rsidRPr="001A7A7F" w:rsidRDefault="001D68AA" w:rsidP="00AC0CD0">
            <w:r>
              <w:rPr>
                <w:b/>
                <w:bCs/>
                <w:sz w:val="18"/>
                <w:szCs w:val="18"/>
              </w:rPr>
              <w:t>Dependencia de entidades adscritas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4F7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26C42E1" w14:textId="77777777" w:rsidR="001D68AA" w:rsidRPr="001A7A7F" w:rsidRDefault="001D68AA" w:rsidP="00AC0CD0">
            <w:r>
              <w:rPr>
                <w:sz w:val="18"/>
                <w:szCs w:val="18"/>
              </w:rPr>
              <w:t>Formalizar AII con puertas de calidad y ANS</w:t>
            </w:r>
          </w:p>
        </w:tc>
      </w:tr>
    </w:tbl>
    <w:p w14:paraId="6A557028" w14:textId="77777777" w:rsidR="001D68AA" w:rsidRPr="001A7A7F" w:rsidRDefault="001D68AA" w:rsidP="001D68AA">
      <w:r>
        <w:br w:type="page"/>
      </w:r>
    </w:p>
    <w:p w14:paraId="6ABCA690" w14:textId="77777777" w:rsidR="001D68AA" w:rsidRPr="001A7A7F" w:rsidRDefault="001D68AA" w:rsidP="001D68AA">
      <w:pPr>
        <w:pStyle w:val="Ttulo1"/>
        <w:rPr>
          <w:color w:val="auto"/>
        </w:rPr>
      </w:pPr>
      <w:r>
        <w:rPr>
          <w:color w:val="auto"/>
        </w:rPr>
        <w:lastRenderedPageBreak/>
        <w:t>13. Próximos pasos y ciclo de aprobación</w:t>
      </w:r>
    </w:p>
    <w:p w14:paraId="624EE210" w14:textId="77777777" w:rsidR="001D68AA" w:rsidRPr="001A7A7F" w:rsidRDefault="001D68AA" w:rsidP="001D68A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120"/>
      </w:pPr>
      <w:r>
        <w:t>Agosto: congelar esta versión inicial y distribuirla con el plan de socialización y la bitácora de observaciones.</w:t>
      </w:r>
    </w:p>
    <w:p w14:paraId="07437468" w14:textId="77777777" w:rsidR="001D68AA" w:rsidRPr="001A7A7F" w:rsidRDefault="001D68AA" w:rsidP="001D68A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120"/>
      </w:pPr>
      <w:r>
        <w:t>Septiembre: socializar en tres rondas (técnica, entidades adscritas y directiva), registrando cada observación con su disposición.</w:t>
      </w:r>
    </w:p>
    <w:p w14:paraId="41D55F2C" w14:textId="77777777" w:rsidR="001D68AA" w:rsidRPr="001A7A7F" w:rsidRDefault="001D68AA" w:rsidP="001D68A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120"/>
      </w:pPr>
      <w:r>
        <w:t>Octubre: incorporar observaciones, emitir la versión final con el anexo de disposición y llevarla a aprobación del Comité.</w:t>
      </w:r>
    </w:p>
    <w:p w14:paraId="31B0E6F6" w14:textId="77777777" w:rsidR="001D68AA" w:rsidRPr="001A7A7F" w:rsidRDefault="001D68AA" w:rsidP="001D68A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120"/>
      </w:pPr>
      <w:r>
        <w:t>Transversal: completar el levantamiento As-Is de datos, precisar los tres puntos abiertos y designar formalmente los Data Stewards.</w:t>
      </w:r>
    </w:p>
    <w:p w14:paraId="6A994C3F" w14:textId="77777777" w:rsidR="001D68AA" w:rsidRDefault="001D68AA" w:rsidP="001D68AA">
      <w:pPr>
        <w:pStyle w:val="Ttulo1"/>
        <w:rPr>
          <w:color w:val="auto"/>
        </w:rPr>
      </w:pPr>
      <w:r>
        <w:rPr>
          <w:color w:val="auto"/>
        </w:rPr>
        <w:t>14. Fuentes</w:t>
      </w:r>
    </w:p>
    <w:p w14:paraId="160F07C6" w14:textId="77777777" w:rsidR="001D68AA" w:rsidRPr="0088773D" w:rsidRDefault="001D68AA" w:rsidP="001D68AA">
      <w:pPr>
        <w:rPr>
          <w:b/>
          <w:bCs/>
          <w:sz w:val="28"/>
          <w:szCs w:val="28"/>
        </w:rPr>
      </w:pPr>
    </w:p>
    <w:p w14:paraId="59A9E635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Informe de gestión CMS — Fase II, vigencia 2026 (BPIN 202400000000198).</w:t>
      </w:r>
    </w:p>
    <w:p w14:paraId="65F170B1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Informe de empalme de Operaciones e Infraestructura Tecnológica, vigencia 2026.</w:t>
      </w:r>
    </w:p>
    <w:p w14:paraId="7A7D36A6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Informe de empalme de Ciberseguridad y Gobernanza de la Información (MSPI), vigencia 2026.</w:t>
      </w:r>
    </w:p>
    <w:p w14:paraId="30A68447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Informe de empalme de Mesa de Servicio, vigencia 2026.</w:t>
      </w:r>
    </w:p>
    <w:p w14:paraId="7F2D68F0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Documentación de implementación del CMS Fase I e informe de validación de la solución Fortinet.</w:t>
      </w:r>
    </w:p>
    <w:p w14:paraId="0C1FB487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PETI 2025; Resoluciones 40199 de 2021 y 40559 de 2025; Catálogo de Servicios de TI (MGGTI.LI.ST.01).</w:t>
      </w:r>
    </w:p>
    <w:p w14:paraId="375D63E7" w14:textId="77777777" w:rsidR="001D68AA" w:rsidRPr="001A7A7F" w:rsidRDefault="001D68AA" w:rsidP="001D68AA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60"/>
      </w:pPr>
      <w:r>
        <w:t>Acuerdo Marco de Nube Pública V — Colombia Compra Eficiente.</w:t>
      </w:r>
    </w:p>
    <w:p w14:paraId="14CE6BFD" w14:textId="77777777" w:rsidR="001D68AA" w:rsidRPr="001D68AA" w:rsidRDefault="001D68AA" w:rsidP="001D68AA">
      <w:pPr>
        <w:jc w:val="center"/>
      </w:pPr>
    </w:p>
    <w:sectPr w:rsidR="001D68AA" w:rsidRPr="001D68AA" w:rsidSect="00E82FC6">
      <w:headerReference w:type="default" r:id="rId9"/>
      <w:footerReference w:type="default" r:id="rId10"/>
      <w:pgSz w:w="12240" w:h="15840"/>
      <w:pgMar w:top="1900" w:right="1183" w:bottom="1160" w:left="709" w:header="59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17705" w14:textId="77777777" w:rsidR="00AB3A47" w:rsidRDefault="00AB3A47">
      <w:r>
        <w:separator/>
      </w:r>
    </w:p>
  </w:endnote>
  <w:endnote w:type="continuationSeparator" w:id="0">
    <w:p w14:paraId="4EDD3FDB" w14:textId="77777777" w:rsidR="00AB3A47" w:rsidRDefault="00AB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218B" w14:textId="77777777" w:rsidR="003A41A5" w:rsidRDefault="003A41A5">
    <w:pPr>
      <w:pStyle w:val="Textoindependiente"/>
      <w:spacing w:before="60"/>
      <w:jc w:val="right"/>
      <w:rPr>
        <w:i w:val="0"/>
      </w:rPr>
    </w:pPr>
    <w:r>
      <w:rPr>
        <w:i w:val="0"/>
      </w:rPr>
      <w:t xml:space="preserve">Página </w:t>
    </w:r>
    <w:r>
      <w:rPr>
        <w:i w:val="0"/>
      </w:rPr>
      <w:fldChar w:fldCharType="begin"/>
    </w:r>
    <w:r>
      <w:rPr>
        <w:i w:val="0"/>
      </w:rPr>
      <w:instrText xml:space="preserve"> PAGE </w:instrText>
    </w:r>
    <w:r>
      <w:rPr>
        <w:i w:val="0"/>
      </w:rPr>
      <w:fldChar w:fldCharType="separate"/>
    </w:r>
    <w:r>
      <w:rPr>
        <w:i w:val="0"/>
      </w:rPr>
      <w:t>1</w:t>
    </w:r>
    <w:r>
      <w:rPr>
        <w:i w:val="0"/>
      </w:rPr>
      <w:fldChar w:fldCharType="end"/>
    </w:r>
    <w:r>
      <w:rPr>
        <w:i w:val="0"/>
      </w:rPr>
      <w:t xml:space="preserve"> de </w:t>
    </w:r>
    <w:r>
      <w:rPr>
        <w:i w:val="0"/>
      </w:rPr>
      <w:fldChar w:fldCharType="begin"/>
    </w:r>
    <w:r>
      <w:rPr>
        <w:i w:val="0"/>
      </w:rPr>
      <w:instrText xml:space="preserve"> NUMPAGES </w:instrText>
    </w:r>
    <w:r>
      <w:rPr>
        <w:i w:val="0"/>
      </w:rPr>
      <w:fldChar w:fldCharType="separate"/>
    </w:r>
    <w:r>
      <w:rPr>
        <w:i w:val="0"/>
      </w:rPr>
      <w:t>1</w:t>
    </w:r>
    <w:r>
      <w:rPr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3D9B5" w14:textId="77777777" w:rsidR="00AB3A47" w:rsidRDefault="00AB3A47">
      <w:r>
        <w:separator/>
      </w:r>
    </w:p>
  </w:footnote>
  <w:footnote w:type="continuationSeparator" w:id="0">
    <w:p w14:paraId="3D6A9769" w14:textId="77777777" w:rsidR="00AB3A47" w:rsidRDefault="00AB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41C7C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3D433E70" wp14:editId="57BF180B">
              <wp:simplePos x="0" y="0"/>
              <wp:positionH relativeFrom="page">
                <wp:posOffset>187452</wp:posOffset>
              </wp:positionH>
              <wp:positionV relativeFrom="page">
                <wp:posOffset>371856</wp:posOffset>
              </wp:positionV>
              <wp:extent cx="7394575" cy="847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4575" cy="847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1"/>
                            <w:gridCol w:w="7121"/>
                            <w:gridCol w:w="1421"/>
                            <w:gridCol w:w="1412"/>
                          </w:tblGrid>
                          <w:tr w:rsidR="003A41A5" w14:paraId="441B8196" w14:textId="77777777">
                            <w:trPr>
                              <w:trHeight w:val="840"/>
                            </w:trPr>
                            <w:tc>
                              <w:tcPr>
                                <w:tcW w:w="1561" w:type="dxa"/>
                                <w:vMerge w:val="restart"/>
                              </w:tcPr>
                              <w:p w14:paraId="15F81E92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 w:val="restart"/>
                              </w:tcPr>
                              <w:p w14:paraId="6AB98B99" w14:textId="77777777" w:rsidR="003A41A5" w:rsidRDefault="00BF15A6">
                                <w:pPr>
                                  <w:pStyle w:val="TableParagraph"/>
                                  <w:spacing w:before="245"/>
                                  <w:ind w:left="177" w:right="170" w:firstLine="2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6B2D4E23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A41A5" w14:paraId="43D6B28E" w14:textId="77777777">
                            <w:trPr>
                              <w:trHeight w:val="230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E472E7B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BCF2077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141D51C5" w14:textId="77777777" w:rsidR="003A41A5" w:rsidRDefault="00BF15A6">
                                <w:pPr>
                                  <w:pStyle w:val="TableParagraph"/>
                                  <w:spacing w:before="36"/>
                                  <w:ind w:left="8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3A41A5" w14:paraId="2E336691" w14:textId="77777777">
                            <w:trPr>
                              <w:trHeight w:val="225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E8CD013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B171E41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1" w:type="dxa"/>
                              </w:tcPr>
                              <w:p w14:paraId="60F063AD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350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05-06-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1412" w:type="dxa"/>
                              </w:tcPr>
                              <w:p w14:paraId="012CC94E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04F2891F" w14:textId="77777777" w:rsidR="003A41A5" w:rsidRDefault="003A41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33E7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75pt;margin-top:29.3pt;width:582.25pt;height:6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1"/>
                      <w:gridCol w:w="7121"/>
                      <w:gridCol w:w="1421"/>
                      <w:gridCol w:w="1412"/>
                    </w:tblGrid>
                    <w:tr w:rsidR="003A41A5" w14:paraId="441B8196" w14:textId="77777777">
                      <w:trPr>
                        <w:trHeight w:val="840"/>
                      </w:trPr>
                      <w:tc>
                        <w:tcPr>
                          <w:tcW w:w="1561" w:type="dxa"/>
                          <w:vMerge w:val="restart"/>
                        </w:tcPr>
                        <w:p w14:paraId="15F81E92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 w:val="restart"/>
                        </w:tcPr>
                        <w:p w14:paraId="6AB98B99" w14:textId="77777777" w:rsidR="003A41A5" w:rsidRDefault="00BF15A6">
                          <w:pPr>
                            <w:pStyle w:val="TableParagraph"/>
                            <w:spacing w:before="245"/>
                            <w:ind w:left="177" w:right="170" w:firstLine="2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6B2D4E23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3A41A5" w14:paraId="43D6B28E" w14:textId="77777777">
                      <w:trPr>
                        <w:trHeight w:val="230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6E472E7B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3BCF2077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141D51C5" w14:textId="77777777" w:rsidR="003A41A5" w:rsidRDefault="00BF15A6">
                          <w:pPr>
                            <w:pStyle w:val="TableParagraph"/>
                            <w:spacing w:before="36"/>
                            <w:ind w:left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3A41A5" w14:paraId="2E336691" w14:textId="77777777">
                      <w:trPr>
                        <w:trHeight w:val="225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1E8CD013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1B171E41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1" w:type="dxa"/>
                        </w:tcPr>
                        <w:p w14:paraId="60F063AD" w14:textId="77777777" w:rsidR="003A41A5" w:rsidRDefault="00BF15A6">
                          <w:pPr>
                            <w:pStyle w:val="TableParagraph"/>
                            <w:spacing w:before="31"/>
                            <w:ind w:left="35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05-06-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14:paraId="012CC94E" w14:textId="77777777" w:rsidR="003A41A5" w:rsidRDefault="00BF15A6">
                          <w:pPr>
                            <w:pStyle w:val="TableParagraph"/>
                            <w:spacing w:before="31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04F2891F" w14:textId="77777777" w:rsidR="003A41A5" w:rsidRDefault="003A41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w:drawing>
        <wp:anchor distT="0" distB="0" distL="0" distR="0" simplePos="0" relativeHeight="487042048" behindDoc="1" locked="0" layoutInCell="1" allowOverlap="1" wp14:anchorId="590A312A" wp14:editId="770D09EC">
          <wp:simplePos x="0" y="0"/>
          <wp:positionH relativeFrom="page">
            <wp:posOffset>5709920</wp:posOffset>
          </wp:positionH>
          <wp:positionV relativeFrom="page">
            <wp:posOffset>376554</wp:posOffset>
          </wp:positionV>
          <wp:extent cx="1819275" cy="552450"/>
          <wp:effectExtent l="0" t="0" r="0" b="0"/>
          <wp:wrapNone/>
          <wp:docPr id="11534376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w:drawing>
        <wp:anchor distT="0" distB="0" distL="0" distR="0" simplePos="0" relativeHeight="487042560" behindDoc="1" locked="0" layoutInCell="1" allowOverlap="1" wp14:anchorId="4A4291A1" wp14:editId="76D9A0BB">
          <wp:simplePos x="0" y="0"/>
          <wp:positionH relativeFrom="page">
            <wp:posOffset>373147</wp:posOffset>
          </wp:positionH>
          <wp:positionV relativeFrom="page">
            <wp:posOffset>434038</wp:posOffset>
          </wp:positionV>
          <wp:extent cx="702024" cy="629888"/>
          <wp:effectExtent l="0" t="0" r="0" b="0"/>
          <wp:wrapNone/>
          <wp:docPr id="1745919872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94F"/>
    <w:multiLevelType w:val="hybridMultilevel"/>
    <w:tmpl w:val="49A6DA94"/>
    <w:lvl w:ilvl="0" w:tplc="0AEA15BC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FFEB632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4BFC8C3C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3DF694E6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AD80AE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6344A25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254AE5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9FBA44BE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932EAEF6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F310DAF"/>
    <w:multiLevelType w:val="hybridMultilevel"/>
    <w:tmpl w:val="68B8CC14"/>
    <w:lvl w:ilvl="0" w:tplc="B61832E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80E81E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5A7234EE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1040AACE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3642F5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3ACAD5F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DB12D73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C8FCF51C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488E10A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0FED3218"/>
    <w:multiLevelType w:val="multilevel"/>
    <w:tmpl w:val="F37208B2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2ED5671C"/>
    <w:multiLevelType w:val="hybridMultilevel"/>
    <w:tmpl w:val="DDBE3F6A"/>
    <w:lvl w:ilvl="0" w:tplc="453A44DE">
      <w:numFmt w:val="bullet"/>
      <w:lvlText w:val="-"/>
      <w:lvlJc w:val="left"/>
      <w:pPr>
        <w:ind w:left="79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1E2193A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1A94EB54">
      <w:numFmt w:val="bullet"/>
      <w:lvlText w:val="•"/>
      <w:lvlJc w:val="left"/>
      <w:pPr>
        <w:ind w:left="1618" w:hanging="361"/>
      </w:pPr>
      <w:rPr>
        <w:rFonts w:hint="default"/>
        <w:lang w:val="es-ES" w:eastAsia="en-US" w:bidi="ar-SA"/>
      </w:rPr>
    </w:lvl>
    <w:lvl w:ilvl="3" w:tplc="8FD20EAC">
      <w:numFmt w:val="bullet"/>
      <w:lvlText w:val="•"/>
      <w:lvlJc w:val="left"/>
      <w:pPr>
        <w:ind w:left="2027" w:hanging="361"/>
      </w:pPr>
      <w:rPr>
        <w:rFonts w:hint="default"/>
        <w:lang w:val="es-ES" w:eastAsia="en-US" w:bidi="ar-SA"/>
      </w:rPr>
    </w:lvl>
    <w:lvl w:ilvl="4" w:tplc="6248C818">
      <w:numFmt w:val="bullet"/>
      <w:lvlText w:val="•"/>
      <w:lvlJc w:val="left"/>
      <w:pPr>
        <w:ind w:left="2436" w:hanging="361"/>
      </w:pPr>
      <w:rPr>
        <w:rFonts w:hint="default"/>
        <w:lang w:val="es-ES" w:eastAsia="en-US" w:bidi="ar-SA"/>
      </w:rPr>
    </w:lvl>
    <w:lvl w:ilvl="5" w:tplc="DCBA80B2">
      <w:numFmt w:val="bullet"/>
      <w:lvlText w:val="•"/>
      <w:lvlJc w:val="left"/>
      <w:pPr>
        <w:ind w:left="2845" w:hanging="361"/>
      </w:pPr>
      <w:rPr>
        <w:rFonts w:hint="default"/>
        <w:lang w:val="es-ES" w:eastAsia="en-US" w:bidi="ar-SA"/>
      </w:rPr>
    </w:lvl>
    <w:lvl w:ilvl="6" w:tplc="C276ABE0">
      <w:numFmt w:val="bullet"/>
      <w:lvlText w:val="•"/>
      <w:lvlJc w:val="left"/>
      <w:pPr>
        <w:ind w:left="3254" w:hanging="361"/>
      </w:pPr>
      <w:rPr>
        <w:rFonts w:hint="default"/>
        <w:lang w:val="es-ES" w:eastAsia="en-US" w:bidi="ar-SA"/>
      </w:rPr>
    </w:lvl>
    <w:lvl w:ilvl="7" w:tplc="3FF038C0">
      <w:numFmt w:val="bullet"/>
      <w:lvlText w:val="•"/>
      <w:lvlJc w:val="left"/>
      <w:pPr>
        <w:ind w:left="3663" w:hanging="361"/>
      </w:pPr>
      <w:rPr>
        <w:rFonts w:hint="default"/>
        <w:lang w:val="es-ES" w:eastAsia="en-US" w:bidi="ar-SA"/>
      </w:rPr>
    </w:lvl>
    <w:lvl w:ilvl="8" w:tplc="A6B87288">
      <w:numFmt w:val="bullet"/>
      <w:lvlText w:val="•"/>
      <w:lvlJc w:val="left"/>
      <w:pPr>
        <w:ind w:left="4072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32B92F64"/>
    <w:multiLevelType w:val="multilevel"/>
    <w:tmpl w:val="A54AA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43717B8C"/>
    <w:multiLevelType w:val="hybridMultilevel"/>
    <w:tmpl w:val="84705B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7D4448"/>
    <w:multiLevelType w:val="hybridMultilevel"/>
    <w:tmpl w:val="8DA45810"/>
    <w:lvl w:ilvl="0" w:tplc="E03889C8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8AFD4C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E520C2D8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95708AB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5936CE50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4A46F310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47B428E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7626134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4C8E32BC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718F441C"/>
    <w:multiLevelType w:val="hybridMultilevel"/>
    <w:tmpl w:val="4B28C662"/>
    <w:lvl w:ilvl="0" w:tplc="2CEA7BC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30E7A4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3C78215A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EC1EFC18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DD26BBCE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852C6AAA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B40F2C6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5B426DA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A0EE6990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772A5835"/>
    <w:multiLevelType w:val="hybridMultilevel"/>
    <w:tmpl w:val="572492E0"/>
    <w:lvl w:ilvl="0" w:tplc="1096C462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6A76F8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6A3C00A4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02E695F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05060AFA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5BFA16E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F9BE734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D36C5922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A6A6F92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A5"/>
    <w:rsid w:val="00001F7D"/>
    <w:rsid w:val="000201AD"/>
    <w:rsid w:val="00032932"/>
    <w:rsid w:val="00061D8F"/>
    <w:rsid w:val="00083716"/>
    <w:rsid w:val="000A0167"/>
    <w:rsid w:val="000A6C14"/>
    <w:rsid w:val="000F10FF"/>
    <w:rsid w:val="001024D1"/>
    <w:rsid w:val="00112FEE"/>
    <w:rsid w:val="001178D9"/>
    <w:rsid w:val="00141DD2"/>
    <w:rsid w:val="00171AEC"/>
    <w:rsid w:val="00175599"/>
    <w:rsid w:val="00193658"/>
    <w:rsid w:val="0019638B"/>
    <w:rsid w:val="001A60F8"/>
    <w:rsid w:val="001A6CA9"/>
    <w:rsid w:val="001C241A"/>
    <w:rsid w:val="001C6EB6"/>
    <w:rsid w:val="001C7C2B"/>
    <w:rsid w:val="001D68AA"/>
    <w:rsid w:val="001E7771"/>
    <w:rsid w:val="002032A6"/>
    <w:rsid w:val="00214ED1"/>
    <w:rsid w:val="00224B04"/>
    <w:rsid w:val="00245C54"/>
    <w:rsid w:val="002461FE"/>
    <w:rsid w:val="00274C1F"/>
    <w:rsid w:val="002B169F"/>
    <w:rsid w:val="002B6875"/>
    <w:rsid w:val="002C4809"/>
    <w:rsid w:val="002D592E"/>
    <w:rsid w:val="0030347F"/>
    <w:rsid w:val="003128E1"/>
    <w:rsid w:val="003534C3"/>
    <w:rsid w:val="00362A76"/>
    <w:rsid w:val="0037278C"/>
    <w:rsid w:val="00376585"/>
    <w:rsid w:val="003878F5"/>
    <w:rsid w:val="00393B0C"/>
    <w:rsid w:val="003A2742"/>
    <w:rsid w:val="003A41A5"/>
    <w:rsid w:val="003C1C83"/>
    <w:rsid w:val="003C359F"/>
    <w:rsid w:val="003C68CF"/>
    <w:rsid w:val="003E1593"/>
    <w:rsid w:val="003F7912"/>
    <w:rsid w:val="0040225E"/>
    <w:rsid w:val="00487EBC"/>
    <w:rsid w:val="004B5A00"/>
    <w:rsid w:val="004C5B26"/>
    <w:rsid w:val="005035E9"/>
    <w:rsid w:val="0050547C"/>
    <w:rsid w:val="0054056C"/>
    <w:rsid w:val="005411CC"/>
    <w:rsid w:val="0054254D"/>
    <w:rsid w:val="00577583"/>
    <w:rsid w:val="00582C96"/>
    <w:rsid w:val="00586A57"/>
    <w:rsid w:val="00587FCC"/>
    <w:rsid w:val="005A1929"/>
    <w:rsid w:val="005A641A"/>
    <w:rsid w:val="005D5B58"/>
    <w:rsid w:val="005E46E9"/>
    <w:rsid w:val="006075C9"/>
    <w:rsid w:val="00624D3C"/>
    <w:rsid w:val="0065706C"/>
    <w:rsid w:val="006740E5"/>
    <w:rsid w:val="00675089"/>
    <w:rsid w:val="006B2254"/>
    <w:rsid w:val="006B709A"/>
    <w:rsid w:val="00726600"/>
    <w:rsid w:val="00731F64"/>
    <w:rsid w:val="007351E0"/>
    <w:rsid w:val="007540D6"/>
    <w:rsid w:val="007602D8"/>
    <w:rsid w:val="00790DE7"/>
    <w:rsid w:val="007A37FE"/>
    <w:rsid w:val="007A71FC"/>
    <w:rsid w:val="007C260B"/>
    <w:rsid w:val="007D14DB"/>
    <w:rsid w:val="007E1C7A"/>
    <w:rsid w:val="007E63AB"/>
    <w:rsid w:val="007F5768"/>
    <w:rsid w:val="00805A43"/>
    <w:rsid w:val="00824593"/>
    <w:rsid w:val="00842DF0"/>
    <w:rsid w:val="00856987"/>
    <w:rsid w:val="0086391D"/>
    <w:rsid w:val="00863E1B"/>
    <w:rsid w:val="008741E5"/>
    <w:rsid w:val="0088476A"/>
    <w:rsid w:val="008A1977"/>
    <w:rsid w:val="008A6225"/>
    <w:rsid w:val="008B6FAF"/>
    <w:rsid w:val="008C1456"/>
    <w:rsid w:val="008D3B57"/>
    <w:rsid w:val="008F4B49"/>
    <w:rsid w:val="00910D29"/>
    <w:rsid w:val="00913F12"/>
    <w:rsid w:val="0091646D"/>
    <w:rsid w:val="009267C5"/>
    <w:rsid w:val="009415B7"/>
    <w:rsid w:val="00941ACB"/>
    <w:rsid w:val="00947876"/>
    <w:rsid w:val="00951A4E"/>
    <w:rsid w:val="00952DA4"/>
    <w:rsid w:val="009574AC"/>
    <w:rsid w:val="00985111"/>
    <w:rsid w:val="00991C25"/>
    <w:rsid w:val="009C09A4"/>
    <w:rsid w:val="009E4F3D"/>
    <w:rsid w:val="009E5EB7"/>
    <w:rsid w:val="009F53A6"/>
    <w:rsid w:val="009F5A80"/>
    <w:rsid w:val="00A464A6"/>
    <w:rsid w:val="00A60A91"/>
    <w:rsid w:val="00A8185B"/>
    <w:rsid w:val="00AB3A47"/>
    <w:rsid w:val="00AD4FFC"/>
    <w:rsid w:val="00AE3F7F"/>
    <w:rsid w:val="00AF54E8"/>
    <w:rsid w:val="00B00AA5"/>
    <w:rsid w:val="00B2219B"/>
    <w:rsid w:val="00B37441"/>
    <w:rsid w:val="00B4571A"/>
    <w:rsid w:val="00B6466A"/>
    <w:rsid w:val="00B8329E"/>
    <w:rsid w:val="00BB3349"/>
    <w:rsid w:val="00BC7F6F"/>
    <w:rsid w:val="00BF15A6"/>
    <w:rsid w:val="00BF2818"/>
    <w:rsid w:val="00C1730E"/>
    <w:rsid w:val="00C27D2F"/>
    <w:rsid w:val="00C44A27"/>
    <w:rsid w:val="00C451B1"/>
    <w:rsid w:val="00C559D7"/>
    <w:rsid w:val="00C62D7B"/>
    <w:rsid w:val="00C8633E"/>
    <w:rsid w:val="00C97BBD"/>
    <w:rsid w:val="00CB7164"/>
    <w:rsid w:val="00CE3B0F"/>
    <w:rsid w:val="00D0659F"/>
    <w:rsid w:val="00D3258C"/>
    <w:rsid w:val="00D6671D"/>
    <w:rsid w:val="00D919CB"/>
    <w:rsid w:val="00D924C3"/>
    <w:rsid w:val="00DB2E68"/>
    <w:rsid w:val="00DB5C2E"/>
    <w:rsid w:val="00DC1CC0"/>
    <w:rsid w:val="00DC46FE"/>
    <w:rsid w:val="00DC4C41"/>
    <w:rsid w:val="00DE6C11"/>
    <w:rsid w:val="00DF276E"/>
    <w:rsid w:val="00E0728B"/>
    <w:rsid w:val="00E170B5"/>
    <w:rsid w:val="00E23521"/>
    <w:rsid w:val="00E65A8E"/>
    <w:rsid w:val="00E74C78"/>
    <w:rsid w:val="00E82FC6"/>
    <w:rsid w:val="00EB3E90"/>
    <w:rsid w:val="00ED57E5"/>
    <w:rsid w:val="00EE5BAF"/>
    <w:rsid w:val="00EF2B18"/>
    <w:rsid w:val="00F009B5"/>
    <w:rsid w:val="00F05CFF"/>
    <w:rsid w:val="00F13CED"/>
    <w:rsid w:val="00F17303"/>
    <w:rsid w:val="00F84227"/>
    <w:rsid w:val="00F90EDC"/>
    <w:rsid w:val="00FB1990"/>
    <w:rsid w:val="00FC6793"/>
    <w:rsid w:val="00FF02D2"/>
    <w:rsid w:val="00FF170C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918D91"/>
  <w15:docId w15:val="{12721F9D-9043-4A7C-A81B-328E0213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D68AA"/>
    <w:pPr>
      <w:widowControl/>
      <w:pBdr>
        <w:top w:val="nil"/>
        <w:left w:val="nil"/>
        <w:bottom w:val="nil"/>
        <w:right w:val="nil"/>
        <w:between w:val="nil"/>
      </w:pBdr>
      <w:autoSpaceDE/>
      <w:autoSpaceDN/>
      <w:spacing w:before="240" w:after="160"/>
      <w:outlineLvl w:val="0"/>
    </w:pPr>
    <w:rPr>
      <w:rFonts w:ascii="Arial" w:eastAsia="Arial" w:hAnsi="Arial" w:cs="Arial"/>
      <w:b/>
      <w:bCs/>
      <w:color w:val="0B3D66"/>
      <w:sz w:val="30"/>
      <w:szCs w:val="30"/>
      <w:lang w:val="es-CO"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D68AA"/>
    <w:pPr>
      <w:widowControl/>
      <w:pBdr>
        <w:top w:val="nil"/>
        <w:left w:val="nil"/>
        <w:bottom w:val="nil"/>
        <w:right w:val="nil"/>
        <w:between w:val="nil"/>
      </w:pBdr>
      <w:autoSpaceDE/>
      <w:autoSpaceDN/>
      <w:spacing w:before="160" w:after="100"/>
      <w:outlineLvl w:val="1"/>
    </w:pPr>
    <w:rPr>
      <w:rFonts w:ascii="Arial" w:eastAsia="Arial" w:hAnsi="Arial" w:cs="Arial"/>
      <w:b/>
      <w:bCs/>
      <w:color w:val="1F5C8C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Calibri" w:eastAsia="Calibri" w:hAnsi="Calibri" w:cs="Calibri"/>
      <w:i/>
      <w:iCs/>
      <w:sz w:val="18"/>
      <w:szCs w:val="18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visitado">
    <w:name w:val="FollowedHyperlink"/>
    <w:basedOn w:val="Fuentedeprrafopredeter"/>
    <w:uiPriority w:val="99"/>
    <w:semiHidden/>
    <w:unhideWhenUsed/>
    <w:rsid w:val="00C97BBD"/>
    <w:rPr>
      <w:color w:val="800080" w:themeColor="followedHyperlink"/>
      <w:u w:val="single"/>
    </w:rPr>
  </w:style>
  <w:style w:type="character" w:styleId="Hipervnculo">
    <w:name w:val="Hyperlink"/>
    <w:basedOn w:val="Fuentedeprrafopredeter"/>
    <w:uiPriority w:val="99"/>
    <w:unhideWhenUsed/>
    <w:rsid w:val="00A8185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8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600"/>
    <w:rPr>
      <w:rFonts w:ascii="Calibri" w:eastAsia="Calibri" w:hAnsi="Calibri" w:cs="Calibri"/>
      <w:i/>
      <w:iCs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C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C14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1D68AA"/>
    <w:rPr>
      <w:rFonts w:ascii="Arial" w:eastAsia="Arial" w:hAnsi="Arial" w:cs="Arial"/>
      <w:b/>
      <w:bCs/>
      <w:color w:val="0B3D66"/>
      <w:sz w:val="30"/>
      <w:szCs w:val="30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1D68AA"/>
    <w:rPr>
      <w:rFonts w:ascii="Arial" w:eastAsia="Arial" w:hAnsi="Arial" w:cs="Arial"/>
      <w:b/>
      <w:bCs/>
      <w:color w:val="1F5C8C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10</Pages>
  <Words>2200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QUINTERO</dc:creator>
  <cp:keywords/>
  <dc:description/>
  <cp:lastModifiedBy>FERNANDO ENRIQUE MEJIA PEÑA</cp:lastModifiedBy>
  <cp:revision>22</cp:revision>
  <cp:lastPrinted>2026-03-04T20:23:00Z</cp:lastPrinted>
  <dcterms:created xsi:type="dcterms:W3CDTF">2025-09-04T07:32:00Z</dcterms:created>
  <dcterms:modified xsi:type="dcterms:W3CDTF">2026-08-10T17:31:00Z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2016</vt:lpwstr>
  </property>
</Properties>
</file>